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836" w:rsidRDefault="00206836">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206836" w:rsidRDefault="00206836">
      <w:pPr>
        <w:pStyle w:val="newncpi"/>
        <w:ind w:firstLine="0"/>
        <w:jc w:val="center"/>
      </w:pPr>
      <w:r>
        <w:rPr>
          <w:rStyle w:val="datepr"/>
        </w:rPr>
        <w:t>11 марта 2019 г.</w:t>
      </w:r>
      <w:r>
        <w:rPr>
          <w:rStyle w:val="number"/>
        </w:rPr>
        <w:t xml:space="preserve"> № 22</w:t>
      </w:r>
    </w:p>
    <w:p w:rsidR="00206836" w:rsidRDefault="00206836">
      <w:pPr>
        <w:pStyle w:val="titlencpi"/>
      </w:pPr>
      <w:r>
        <w:t>Об утверждении Инструкции о порядке отбора претендентов на занесение на Республиканскую доску Почета</w:t>
      </w:r>
    </w:p>
    <w:p w:rsidR="00206836" w:rsidRDefault="00206836">
      <w:pPr>
        <w:pStyle w:val="preamble"/>
      </w:pPr>
      <w:r>
        <w:t>На основании пункта 9 Положения о Республиканской доске Почета, утвержденного Указом Президента Республики Беларусь от 30 сентября 1999 г. № 573,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
    <w:p w:rsidR="00206836" w:rsidRDefault="00206836">
      <w:pPr>
        <w:pStyle w:val="point"/>
      </w:pPr>
      <w:r>
        <w:t>1. Утвердить Инструкцию о порядке отбора претендентов на занесение на Республиканскую доску Почета (прилагается).</w:t>
      </w:r>
    </w:p>
    <w:p w:rsidR="00206836" w:rsidRDefault="00206836">
      <w:pPr>
        <w:pStyle w:val="point"/>
      </w:pPr>
      <w:r>
        <w:t>2. Признать утратившим силу постановление Министерства образования Республики Беларусь от 31 августа 2012 г. № 110 «Об утверждении Инструкции о порядке определения лучших кандидатур среди учреждений образования и показателей социально-экономического развития, иных критериев оценки их работы для занесения на Республиканскую доску Почета».</w:t>
      </w:r>
    </w:p>
    <w:p w:rsidR="00206836" w:rsidRDefault="00206836">
      <w:pPr>
        <w:pStyle w:val="point"/>
      </w:pPr>
      <w:r>
        <w:t>3. Настоящее постановление вступает в силу после его официального опубликования.</w:t>
      </w:r>
    </w:p>
    <w:p w:rsidR="00206836" w:rsidRDefault="00206836">
      <w:pPr>
        <w:pStyle w:val="newncpi"/>
      </w:pPr>
      <w:r>
        <w:t> </w:t>
      </w:r>
    </w:p>
    <w:tbl>
      <w:tblPr>
        <w:tblW w:w="5000" w:type="pct"/>
        <w:tblCellMar>
          <w:left w:w="0" w:type="dxa"/>
          <w:right w:w="0" w:type="dxa"/>
        </w:tblCellMar>
        <w:tblLook w:val="04A0" w:firstRow="1" w:lastRow="0" w:firstColumn="1" w:lastColumn="0" w:noHBand="0" w:noVBand="1"/>
      </w:tblPr>
      <w:tblGrid>
        <w:gridCol w:w="4975"/>
        <w:gridCol w:w="4976"/>
      </w:tblGrid>
      <w:tr w:rsidR="00206836">
        <w:trPr>
          <w:trHeight w:val="238"/>
        </w:trPr>
        <w:tc>
          <w:tcPr>
            <w:tcW w:w="2500" w:type="pct"/>
            <w:tcMar>
              <w:top w:w="0" w:type="dxa"/>
              <w:left w:w="6" w:type="dxa"/>
              <w:bottom w:w="0" w:type="dxa"/>
              <w:right w:w="6" w:type="dxa"/>
            </w:tcMar>
            <w:vAlign w:val="bottom"/>
            <w:hideMark/>
          </w:tcPr>
          <w:p w:rsidR="00206836" w:rsidRDefault="00206836">
            <w:pPr>
              <w:pStyle w:val="newncpi0"/>
              <w:jc w:val="left"/>
            </w:pPr>
            <w:r>
              <w:rPr>
                <w:rStyle w:val="post"/>
              </w:rPr>
              <w:t>Министр</w:t>
            </w:r>
          </w:p>
        </w:tc>
        <w:tc>
          <w:tcPr>
            <w:tcW w:w="2500" w:type="pct"/>
            <w:tcMar>
              <w:top w:w="0" w:type="dxa"/>
              <w:left w:w="6" w:type="dxa"/>
              <w:bottom w:w="0" w:type="dxa"/>
              <w:right w:w="6" w:type="dxa"/>
            </w:tcMar>
            <w:vAlign w:val="bottom"/>
            <w:hideMark/>
          </w:tcPr>
          <w:p w:rsidR="00206836" w:rsidRDefault="00206836">
            <w:pPr>
              <w:pStyle w:val="newncpi0"/>
              <w:jc w:val="right"/>
            </w:pPr>
            <w:r>
              <w:rPr>
                <w:rStyle w:val="pers"/>
              </w:rPr>
              <w:t>И.В.Карпенко</w:t>
            </w:r>
          </w:p>
        </w:tc>
      </w:tr>
    </w:tbl>
    <w:p w:rsidR="00206836" w:rsidRDefault="00206836">
      <w:pPr>
        <w:pStyle w:val="newncpi"/>
      </w:pPr>
      <w:r>
        <w:t> </w:t>
      </w:r>
    </w:p>
    <w:p w:rsidR="00206836" w:rsidRDefault="00206836">
      <w:pPr>
        <w:pStyle w:val="newncpi"/>
      </w:pPr>
      <w:r>
        <w:t> </w:t>
      </w:r>
    </w:p>
    <w:p w:rsidR="00206836" w:rsidRDefault="00206836"/>
    <w:tbl>
      <w:tblPr>
        <w:tblW w:w="5000" w:type="pct"/>
        <w:tblCellMar>
          <w:left w:w="0" w:type="dxa"/>
          <w:right w:w="0" w:type="dxa"/>
        </w:tblCellMar>
        <w:tblLook w:val="04A0" w:firstRow="1" w:lastRow="0" w:firstColumn="1" w:lastColumn="0" w:noHBand="0" w:noVBand="1"/>
      </w:tblPr>
      <w:tblGrid>
        <w:gridCol w:w="6936"/>
        <w:gridCol w:w="3015"/>
      </w:tblGrid>
      <w:tr w:rsidR="00206836">
        <w:tc>
          <w:tcPr>
            <w:tcW w:w="3485" w:type="pct"/>
            <w:tcMar>
              <w:top w:w="0" w:type="dxa"/>
              <w:left w:w="6" w:type="dxa"/>
              <w:bottom w:w="0" w:type="dxa"/>
              <w:right w:w="6" w:type="dxa"/>
            </w:tcMar>
            <w:hideMark/>
          </w:tcPr>
          <w:p w:rsidR="00206836" w:rsidRDefault="00206836">
            <w:pPr>
              <w:pStyle w:val="cap1"/>
            </w:pPr>
            <w:r>
              <w:t> </w:t>
            </w:r>
          </w:p>
        </w:tc>
        <w:tc>
          <w:tcPr>
            <w:tcW w:w="1515" w:type="pct"/>
            <w:tcMar>
              <w:top w:w="0" w:type="dxa"/>
              <w:left w:w="6" w:type="dxa"/>
              <w:bottom w:w="0" w:type="dxa"/>
              <w:right w:w="6" w:type="dxa"/>
            </w:tcMar>
            <w:hideMark/>
          </w:tcPr>
          <w:p w:rsidR="00206836" w:rsidRDefault="00206836">
            <w:pPr>
              <w:pStyle w:val="capu1"/>
            </w:pPr>
            <w:r>
              <w:t>УТВЕРЖДЕНО</w:t>
            </w:r>
          </w:p>
          <w:p w:rsidR="00206836" w:rsidRDefault="00206836">
            <w:pPr>
              <w:pStyle w:val="cap1"/>
            </w:pPr>
            <w:r>
              <w:t>Постановление</w:t>
            </w:r>
            <w:r>
              <w:br/>
              <w:t>Министерства образования</w:t>
            </w:r>
            <w:r>
              <w:br/>
              <w:t>Республики Беларусь</w:t>
            </w:r>
            <w:r>
              <w:br/>
              <w:t>11.03.2019 № 22</w:t>
            </w:r>
          </w:p>
        </w:tc>
      </w:tr>
    </w:tbl>
    <w:p w:rsidR="00206836" w:rsidRDefault="00206836">
      <w:pPr>
        <w:pStyle w:val="titleu"/>
      </w:pPr>
      <w:r>
        <w:t>ИНСТРУКЦИЯ</w:t>
      </w:r>
      <w:r>
        <w:br/>
        <w:t>о порядке отбора претендентов на занесение на Республиканскую доску Почета</w:t>
      </w:r>
    </w:p>
    <w:p w:rsidR="00206836" w:rsidRDefault="00206836">
      <w:pPr>
        <w:pStyle w:val="point"/>
      </w:pPr>
      <w:r>
        <w:t>1. Настоящая Инструкция устанавливает порядок определения претендентов на занесение на Республиканскую доску Почета (далее – претенденты) среди организаций образования (далее – учреждения образования) за достижение высоких результатов в сфере социально-экономического развития, критерии и перечень показателей оценки работы претендентов, определяет форму заявки на участие в конкурсном отборе.</w:t>
      </w:r>
    </w:p>
    <w:p w:rsidR="00206836" w:rsidRDefault="00206836">
      <w:pPr>
        <w:pStyle w:val="point"/>
      </w:pPr>
      <w:r>
        <w:t>2. Занесение на Республиканскую доску Почета является общественным признанием и поощрением учреждений образования, признанных победителями по итогам работы за отчетный год.</w:t>
      </w:r>
    </w:p>
    <w:p w:rsidR="00206836" w:rsidRDefault="00206836">
      <w:pPr>
        <w:pStyle w:val="point"/>
      </w:pPr>
      <w:r>
        <w:t>3. Количество мест на Республиканской доске Почета за достижение высоких результатов в сфере социально-экономического развития по итогам работы за отчетный год для учреждений образования – 4.</w:t>
      </w:r>
    </w:p>
    <w:p w:rsidR="00206836" w:rsidRDefault="00206836">
      <w:pPr>
        <w:pStyle w:val="point"/>
      </w:pPr>
      <w:r>
        <w:t>4. На Республиканскую доску Почета могут быть занесены учреждения образования независимо от формы собственности, зарегистрированные на территории Республики Беларусь.</w:t>
      </w:r>
    </w:p>
    <w:p w:rsidR="00206836" w:rsidRDefault="00206836">
      <w:pPr>
        <w:pStyle w:val="point"/>
      </w:pPr>
      <w:r>
        <w:t>5. Определение претендентов среди учреждений образования проводится Министерством образования из числа лучших кандидатур, выдвигаемых областными и Минским городским исполнительными комитетами (далее – облисполкомы и Минский горисполком).</w:t>
      </w:r>
    </w:p>
    <w:p w:rsidR="00206836" w:rsidRDefault="00206836">
      <w:pPr>
        <w:pStyle w:val="point"/>
      </w:pPr>
      <w:r>
        <w:t xml:space="preserve">6. Критериями определения претендентов является достижение учреждениями образования высоких результатов в обеспечении качества образования, а также наилучших значений показателей в сфере социально-экономического развития за отчетный год, </w:t>
      </w:r>
      <w:r>
        <w:lastRenderedPageBreak/>
        <w:t>определенных в перечне показателей оценки работы претендентов на занесение на Республиканскую доску Почета среди учреждений образования согласно приложению 1.</w:t>
      </w:r>
    </w:p>
    <w:p w:rsidR="00206836" w:rsidRDefault="00206836">
      <w:pPr>
        <w:pStyle w:val="newncpi"/>
      </w:pPr>
      <w:r>
        <w:t>При определении претендентов обязательным является соблюдение условий, указанных в абзаце втором части первой, частях второй и третьей пункта 5, подпункте 12.2 пункта 12 Положения о Республиканской доске Почета.</w:t>
      </w:r>
    </w:p>
    <w:p w:rsidR="00206836" w:rsidRDefault="00206836">
      <w:pPr>
        <w:pStyle w:val="point"/>
      </w:pPr>
      <w:r>
        <w:t>7. Выдвижение лучших кандидатур из числа учреждений образования осуществляется облисполкомами и Минским горисполкомом по результатам конкурного отбора.</w:t>
      </w:r>
    </w:p>
    <w:p w:rsidR="00206836" w:rsidRDefault="00206836">
      <w:pPr>
        <w:pStyle w:val="newncpi"/>
      </w:pPr>
      <w:r>
        <w:t>Учреждения образования подают заявку на участие в конкурсном отборе среди учреждений образования на занесение на Республиканскую доску Почета по форме согласно приложению 2.</w:t>
      </w:r>
    </w:p>
    <w:p w:rsidR="00206836" w:rsidRDefault="00206836">
      <w:pPr>
        <w:pStyle w:val="point"/>
      </w:pPr>
      <w:r>
        <w:t>8. Количество лучших кандидатур, выдвигаемых облисполкомами и Минским горисполкомом – по 2 от каждой области и г. Минска.</w:t>
      </w:r>
    </w:p>
    <w:p w:rsidR="00206836" w:rsidRDefault="00206836">
      <w:pPr>
        <w:pStyle w:val="point"/>
      </w:pPr>
      <w:r>
        <w:t>9. Оценка работы учреждений образования осуществляется в целом по юридическому лицу, включая его обособленные подразделения.</w:t>
      </w:r>
    </w:p>
    <w:p w:rsidR="00206836" w:rsidRDefault="00206836">
      <w:pPr>
        <w:pStyle w:val="newncpi"/>
      </w:pPr>
      <w:r>
        <w:t>Оценка работы учреждений образования, в состав которых входят обособленные подразделения, осуществляющие реализацию образовательных программ общего среднего, профессионально-технического, среднего специального образования, а также учреждений общего среднего образования, осуществляющих реализацию образовательных программ дошкольного, среднего специального образования, проводится с учетом показателей, определенных соответственно для учреждений общего среднего, профессионально-технического, среднего специального, дошкольного образования в таблицах приложения 1.</w:t>
      </w:r>
    </w:p>
    <w:p w:rsidR="00206836" w:rsidRDefault="00206836">
      <w:pPr>
        <w:pStyle w:val="point"/>
      </w:pPr>
      <w:r>
        <w:t>10. По результатам конкурсного отбора на выдвижение лучших кандидатур среди учреждений образования облисполкомы и Минский горисполком до 1 марта года, следующего за отчетным годом, представляют на рассмотрение в Министерство образования материалы по выдвигаемым лучшим кандидатурам:</w:t>
      </w:r>
    </w:p>
    <w:p w:rsidR="00206836" w:rsidRDefault="00206836">
      <w:pPr>
        <w:pStyle w:val="newncpi"/>
      </w:pPr>
      <w:r>
        <w:t>перечень заявок на участие в конкурсном отборе среди учреждений образования;</w:t>
      </w:r>
    </w:p>
    <w:p w:rsidR="00206836" w:rsidRDefault="00206836">
      <w:pPr>
        <w:pStyle w:val="newncpi"/>
      </w:pPr>
      <w:r>
        <w:t>перечень лучших кандидатур среди учреждений образования от области и г. Минска;</w:t>
      </w:r>
    </w:p>
    <w:p w:rsidR="00206836" w:rsidRDefault="00206836">
      <w:pPr>
        <w:pStyle w:val="newncpi"/>
      </w:pPr>
      <w:r>
        <w:t>решение об утверждении перечня лучших кандидатур от области и г. Минска;</w:t>
      </w:r>
    </w:p>
    <w:p w:rsidR="00206836" w:rsidRDefault="00206836">
      <w:pPr>
        <w:pStyle w:val="newncpi"/>
      </w:pPr>
      <w:r>
        <w:t>справки о выполнении лучшими кандидатурами обязательных условий для занесения на Республиканскую доску Почета, критериев и показателей оценки работы за отчетный год по форме согласно приложению 3;</w:t>
      </w:r>
    </w:p>
    <w:p w:rsidR="00206836" w:rsidRDefault="00206836">
      <w:pPr>
        <w:pStyle w:val="newncpi"/>
      </w:pPr>
      <w:r>
        <w:t>информацию об итогах деятельности и достижениях лучших кандидатур за отчетный год.</w:t>
      </w:r>
    </w:p>
    <w:p w:rsidR="00206836" w:rsidRDefault="00206836">
      <w:pPr>
        <w:pStyle w:val="point"/>
      </w:pPr>
      <w:r>
        <w:t>11. Определение претендентов осуществляется комиссией Министерства образования (далее – комиссия), персональный состав которой утверждается приказом Министра образования.</w:t>
      </w:r>
    </w:p>
    <w:p w:rsidR="00206836" w:rsidRDefault="00206836">
      <w:pPr>
        <w:pStyle w:val="newncpi"/>
      </w:pPr>
      <w:r>
        <w:t>В состав комиссии включается не менее пяти человек из числа руководящих работников Министерства образования. Возглавляет комиссию один из заместителей Министра. В состав комиссии могут включаться представители структурных подразделений городского, районного исполнительных комитетов, местных администраций районов в городе, осуществляющих государственно-властные полномочия в сфере образования, а также представители республиканских органов государственного управления (с их согласия).</w:t>
      </w:r>
    </w:p>
    <w:p w:rsidR="00206836" w:rsidRDefault="00206836">
      <w:pPr>
        <w:pStyle w:val="point"/>
      </w:pPr>
      <w:r>
        <w:t>12. Материалы, указанные в пункте 10 настоящей Инструкции, поступают на рассмотрение комиссии, по результатам которого комиссия принимает решение об определении претендентов в количестве, определенном пунктом 3 настоящей Инструкции.</w:t>
      </w:r>
    </w:p>
    <w:p w:rsidR="00206836" w:rsidRDefault="00206836">
      <w:pPr>
        <w:pStyle w:val="point"/>
      </w:pPr>
      <w:r>
        <w:t>13. Решение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половины членов комиссии, участвующих в заседании.</w:t>
      </w:r>
    </w:p>
    <w:p w:rsidR="00206836" w:rsidRDefault="00206836">
      <w:pPr>
        <w:pStyle w:val="newncpi"/>
      </w:pPr>
      <w:r>
        <w:t>При равном распределении голосов принимается решение, за которое проголосовал председатель комиссии (в его отсутствие – заместитель председателя).</w:t>
      </w:r>
    </w:p>
    <w:p w:rsidR="00206836" w:rsidRDefault="00206836">
      <w:pPr>
        <w:pStyle w:val="point"/>
      </w:pPr>
      <w:r>
        <w:t>14. При рассмотрении нескольких лучших кандидатур из числа учреждений образования одного типа определение претендентов осуществляется комиссией на основе балльной системы путем суммирования баллов, набранных по каждому из показателей, используемых при определении претендентов.</w:t>
      </w:r>
    </w:p>
    <w:p w:rsidR="00206836" w:rsidRDefault="00206836">
      <w:pPr>
        <w:pStyle w:val="newncpi"/>
      </w:pPr>
      <w:r>
        <w:lastRenderedPageBreak/>
        <w:t>Начисление баллов осуществляется отдельно по каждому показателю. Высший балл соответствует количеству принятых к рассмотрению кандидатур по каждому показателю. При равенстве значений у нескольких кандидатур им начисляется равное количество баллов, кандидатуре, занявшей следующее за ними место, начисляется балл, уменьшенный на количество кандидатур, занявших равные места.</w:t>
      </w:r>
    </w:p>
    <w:p w:rsidR="00206836" w:rsidRDefault="00206836">
      <w:pPr>
        <w:pStyle w:val="newncpi"/>
      </w:pPr>
      <w:r>
        <w:t>Претендентами признаются кандидатуры, набравшие наибольшее количество баллов.</w:t>
      </w:r>
    </w:p>
    <w:p w:rsidR="00206836" w:rsidRDefault="00206836">
      <w:pPr>
        <w:pStyle w:val="point"/>
      </w:pPr>
      <w:r>
        <w:t>15. Решение комиссии оформляется протоколом за подписью председателя (в его отсутствие – заместителя председателя) и секретаря комиссии.</w:t>
      </w:r>
    </w:p>
    <w:p w:rsidR="00206836" w:rsidRDefault="00206836">
      <w:pPr>
        <w:pStyle w:val="point"/>
      </w:pPr>
      <w:r>
        <w:t>16. Решение комиссии об определении претендентов вносится на рассмотрение коллегии Министерства образования.</w:t>
      </w:r>
    </w:p>
    <w:p w:rsidR="00206836" w:rsidRDefault="00206836">
      <w:pPr>
        <w:pStyle w:val="newncpi"/>
      </w:pPr>
      <w:r>
        <w:t>Коллегия Министерства образования принимает решение об утверждении перечня претендентов, которое оформляется постановлением коллегии.</w:t>
      </w:r>
    </w:p>
    <w:p w:rsidR="00206836" w:rsidRDefault="00206836">
      <w:pPr>
        <w:pStyle w:val="point"/>
      </w:pPr>
      <w:r>
        <w:t>17. Министерство образования до 12 марта года, следующего за отчетным, по результатам проведения конкурсного отбора направляет в Министерство экономики материалы, указанные в абзацах третьем и четвертом пункта 19 Положения о Республиканской доске Почета.</w:t>
      </w:r>
    </w:p>
    <w:p w:rsidR="00206836" w:rsidRDefault="00206836">
      <w:pPr>
        <w:pStyle w:val="newncpi"/>
      </w:pPr>
      <w:r>
        <w:t> </w:t>
      </w:r>
      <w:r>
        <w:br w:type="page"/>
      </w:r>
    </w:p>
    <w:p w:rsidR="00206836" w:rsidRDefault="00206836">
      <w:pPr>
        <w:pStyle w:val="newncpi"/>
      </w:pPr>
    </w:p>
    <w:tbl>
      <w:tblPr>
        <w:tblW w:w="5000" w:type="pct"/>
        <w:tblCellMar>
          <w:left w:w="0" w:type="dxa"/>
          <w:right w:w="0" w:type="dxa"/>
        </w:tblCellMar>
        <w:tblLook w:val="04A0" w:firstRow="1" w:lastRow="0" w:firstColumn="1" w:lastColumn="0" w:noHBand="0" w:noVBand="1"/>
      </w:tblPr>
      <w:tblGrid>
        <w:gridCol w:w="6182"/>
        <w:gridCol w:w="3769"/>
      </w:tblGrid>
      <w:tr w:rsidR="00206836">
        <w:tc>
          <w:tcPr>
            <w:tcW w:w="3106" w:type="pct"/>
            <w:tcMar>
              <w:top w:w="0" w:type="dxa"/>
              <w:left w:w="6" w:type="dxa"/>
              <w:bottom w:w="0" w:type="dxa"/>
              <w:right w:w="6" w:type="dxa"/>
            </w:tcMar>
            <w:hideMark/>
          </w:tcPr>
          <w:p w:rsidR="00206836" w:rsidRDefault="00206836">
            <w:pPr>
              <w:pStyle w:val="newncpi"/>
            </w:pPr>
            <w:r>
              <w:t> </w:t>
            </w:r>
          </w:p>
        </w:tc>
        <w:tc>
          <w:tcPr>
            <w:tcW w:w="1894" w:type="pct"/>
            <w:tcMar>
              <w:top w:w="0" w:type="dxa"/>
              <w:left w:w="6" w:type="dxa"/>
              <w:bottom w:w="0" w:type="dxa"/>
              <w:right w:w="6" w:type="dxa"/>
            </w:tcMar>
            <w:hideMark/>
          </w:tcPr>
          <w:p w:rsidR="00206836" w:rsidRDefault="00206836">
            <w:pPr>
              <w:pStyle w:val="append1"/>
            </w:pPr>
            <w:r>
              <w:t>Приложение 1</w:t>
            </w:r>
          </w:p>
          <w:p w:rsidR="00206836" w:rsidRDefault="00206836">
            <w:pPr>
              <w:pStyle w:val="append"/>
            </w:pPr>
            <w:r>
              <w:t>к Инструкции о порядке отбора</w:t>
            </w:r>
            <w:r>
              <w:br/>
              <w:t>претендентов на занесение</w:t>
            </w:r>
            <w:r>
              <w:br/>
              <w:t xml:space="preserve">на Республиканскую доску Почета </w:t>
            </w:r>
          </w:p>
        </w:tc>
      </w:tr>
    </w:tbl>
    <w:p w:rsidR="00206836" w:rsidRDefault="00206836">
      <w:pPr>
        <w:pStyle w:val="titlep"/>
        <w:jc w:val="left"/>
      </w:pPr>
      <w:r>
        <w:t>ПЕРЕЧЕНЬ</w:t>
      </w:r>
      <w:r>
        <w:br/>
        <w:t>показателей оценки работы претендентов на занесение на Республиканскую доску Почета среди учреждений образования*</w:t>
      </w:r>
    </w:p>
    <w:p w:rsidR="00206836" w:rsidRDefault="00206836">
      <w:pPr>
        <w:pStyle w:val="onestring"/>
      </w:pPr>
      <w:r>
        <w:t>Таблица 1</w:t>
      </w:r>
    </w:p>
    <w:p w:rsidR="00206836" w:rsidRDefault="00206836">
      <w:pPr>
        <w:pStyle w:val="newncpi"/>
      </w:pPr>
      <w:r>
        <w:t> </w:t>
      </w:r>
    </w:p>
    <w:p w:rsidR="00206836" w:rsidRDefault="00206836">
      <w:pPr>
        <w:pStyle w:val="newncpi0"/>
        <w:jc w:val="center"/>
      </w:pPr>
      <w:r>
        <w:rPr>
          <w:b/>
          <w:bCs/>
        </w:rPr>
        <w:t>Учреждения дошкольного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1"/>
        <w:gridCol w:w="7390"/>
      </w:tblGrid>
      <w:tr w:rsidR="00206836">
        <w:trPr>
          <w:trHeight w:val="238"/>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Обеспеченность педагогическими работниками (процент от штатной численности)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педагогических работников (в процентах от общего количества педагогических работников), имеющих:</w:t>
            </w:r>
          </w:p>
          <w:p w:rsidR="00206836" w:rsidRDefault="00206836">
            <w:pPr>
              <w:pStyle w:val="table10"/>
              <w:ind w:firstLine="284"/>
            </w:pPr>
            <w:r>
              <w:t>высшее образование;</w:t>
            </w:r>
          </w:p>
          <w:p w:rsidR="00206836" w:rsidRDefault="00206836">
            <w:pPr>
              <w:pStyle w:val="table10"/>
              <w:ind w:firstLine="284"/>
            </w:pPr>
            <w:r>
              <w:t>высшее образование по профилю «Педагогика» (направление «Педагогика детства») или по профилю «Педагогика. Профессиональное образование»;</w:t>
            </w:r>
          </w:p>
          <w:p w:rsidR="00206836" w:rsidRDefault="00206836">
            <w:pPr>
              <w:pStyle w:val="table10"/>
              <w:ind w:firstLine="284"/>
            </w:pPr>
            <w:r>
              <w:t>высшую квалификационную категорию;</w:t>
            </w:r>
          </w:p>
          <w:p w:rsidR="00206836" w:rsidRDefault="00206836">
            <w:pPr>
              <w:pStyle w:val="table10"/>
              <w:ind w:firstLine="284"/>
            </w:pPr>
            <w:r>
              <w:t>первую квалификационную категорию</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грамотами, 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Количество победителей или лауреатов:</w:t>
            </w:r>
          </w:p>
          <w:p w:rsidR="00206836" w:rsidRDefault="00206836">
            <w:pPr>
              <w:pStyle w:val="table10"/>
              <w:ind w:firstLine="284"/>
            </w:pPr>
            <w:r>
              <w:t xml:space="preserve">международных (в том числе государств – участников СНГ) конкурсов, турниров, фестивалей, конференций, симпозиумов, других образовательных мероприятий, художественно-творческих мероприятий, теле- и </w:t>
            </w:r>
            <w:proofErr w:type="spellStart"/>
            <w:r>
              <w:t>радиопроектов</w:t>
            </w:r>
            <w:proofErr w:type="spellEnd"/>
            <w:r>
              <w:t>;</w:t>
            </w:r>
          </w:p>
          <w:p w:rsidR="00206836" w:rsidRDefault="00206836">
            <w:pPr>
              <w:pStyle w:val="table10"/>
              <w:ind w:firstLine="284"/>
            </w:pPr>
            <w:r>
              <w:t>заключительного этапа республиканского конкурса профессионального мастерства педагогических работников, других республиканских образовательных мероприятий</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Количество публикаций в средствах массовой информации, раскрывающих опыт работы учреждения образования и педагогических работников учреждения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6. Количество авторов учебников, учебных пособий, официально утвержденных или допущенных в качестве соответствующего вида учебного издания Министерством образования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Участие в реализации международных и национальных проектов и программ в сфере образования</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2. Создание </w:t>
            </w:r>
            <w:proofErr w:type="spellStart"/>
            <w:r>
              <w:t>здоровьесберегающих</w:t>
            </w:r>
            <w:proofErr w:type="spellEnd"/>
            <w:r>
              <w:t xml:space="preserve"> условий</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8. Количество и доля обучающихся по каждой группе здоровья (в процентах от общего количества обучающихся), состояние здоровья которых за период пребывания в учреждении дошкольного образования:</w:t>
            </w:r>
          </w:p>
          <w:p w:rsidR="00206836" w:rsidRDefault="00206836">
            <w:pPr>
              <w:pStyle w:val="table10"/>
              <w:ind w:firstLine="284"/>
            </w:pPr>
            <w:r>
              <w:t>улучшилось;</w:t>
            </w:r>
          </w:p>
          <w:p w:rsidR="00206836" w:rsidRDefault="00206836">
            <w:pPr>
              <w:pStyle w:val="table10"/>
              <w:ind w:firstLine="284"/>
            </w:pPr>
            <w:r>
              <w:t>ухудшилось;</w:t>
            </w:r>
          </w:p>
          <w:p w:rsidR="00206836" w:rsidRDefault="00206836">
            <w:pPr>
              <w:pStyle w:val="table10"/>
              <w:ind w:firstLine="284"/>
            </w:pPr>
            <w:r>
              <w:t>осталось без изменений</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Количество зафиксированных случаев травматизма обучающихся во время образовательного процесса</w:t>
            </w:r>
          </w:p>
        </w:tc>
      </w:tr>
      <w:tr w:rsidR="00206836">
        <w:trPr>
          <w:trHeight w:val="238"/>
        </w:trPr>
        <w:tc>
          <w:tcPr>
            <w:tcW w:w="1287" w:type="pct"/>
            <w:tcBorders>
              <w:top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3. Состояние материально-технической базы </w:t>
            </w:r>
          </w:p>
        </w:tc>
        <w:tc>
          <w:tcPr>
            <w:tcW w:w="3713"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10. Выполнение доведенных показателей по энергосбережению</w:t>
            </w:r>
          </w:p>
        </w:tc>
      </w:tr>
    </w:tbl>
    <w:p w:rsidR="00206836" w:rsidRDefault="00206836">
      <w:pPr>
        <w:pStyle w:val="newncpi"/>
      </w:pPr>
      <w:r>
        <w:t> </w:t>
      </w:r>
      <w:r>
        <w:br w:type="page"/>
      </w:r>
    </w:p>
    <w:p w:rsidR="00206836" w:rsidRDefault="00206836">
      <w:pPr>
        <w:pStyle w:val="newncpi"/>
      </w:pPr>
    </w:p>
    <w:p w:rsidR="00206836" w:rsidRDefault="00206836">
      <w:pPr>
        <w:pStyle w:val="onestring"/>
      </w:pPr>
      <w:r>
        <w:t>Таблица 2</w:t>
      </w:r>
    </w:p>
    <w:p w:rsidR="00206836" w:rsidRDefault="00206836">
      <w:pPr>
        <w:pStyle w:val="newncpi"/>
      </w:pPr>
      <w:r>
        <w:t> </w:t>
      </w:r>
    </w:p>
    <w:p w:rsidR="00206836" w:rsidRDefault="00206836">
      <w:pPr>
        <w:pStyle w:val="newncpi0"/>
        <w:jc w:val="center"/>
      </w:pPr>
      <w:r>
        <w:rPr>
          <w:b/>
          <w:bCs/>
        </w:rPr>
        <w:t>Учреждения общего среднего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2"/>
        <w:gridCol w:w="7398"/>
      </w:tblGrid>
      <w:tr w:rsidR="00206836">
        <w:trPr>
          <w:trHeight w:val="238"/>
        </w:trPr>
        <w:tc>
          <w:tcPr>
            <w:tcW w:w="1286"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14"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Обеспеченность педагогическими работниками (процент от штатной численности)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педагогических работников (в процентах от общего количества педагогических работников), имеющих:</w:t>
            </w:r>
          </w:p>
          <w:p w:rsidR="00206836" w:rsidRDefault="00206836">
            <w:pPr>
              <w:pStyle w:val="table10"/>
              <w:ind w:firstLine="284"/>
            </w:pPr>
            <w:r>
              <w:t>высшее образование;</w:t>
            </w:r>
          </w:p>
          <w:p w:rsidR="00206836" w:rsidRDefault="00206836">
            <w:pPr>
              <w:pStyle w:val="table10"/>
              <w:ind w:firstLine="284"/>
            </w:pPr>
            <w:r>
              <w:t>высшую квалификационную категорию;</w:t>
            </w:r>
          </w:p>
          <w:p w:rsidR="00206836" w:rsidRDefault="00206836">
            <w:pPr>
              <w:pStyle w:val="table10"/>
              <w:ind w:firstLine="284"/>
            </w:pPr>
            <w:r>
              <w:t>первую квалификационную категорию;</w:t>
            </w:r>
          </w:p>
          <w:p w:rsidR="00206836" w:rsidRDefault="00206836">
            <w:pPr>
              <w:pStyle w:val="table10"/>
              <w:ind w:firstLine="284"/>
            </w:pPr>
            <w:r>
              <w:t>квалификационную категорию «учитель-методист»</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Доля обучающихся (в процентах от общего количества обучающихся):</w:t>
            </w:r>
          </w:p>
          <w:p w:rsidR="00206836" w:rsidRDefault="00206836">
            <w:pPr>
              <w:pStyle w:val="table10"/>
              <w:ind w:firstLine="284"/>
            </w:pPr>
            <w:r>
              <w:t>посещающих факультативные занятия;</w:t>
            </w:r>
          </w:p>
          <w:p w:rsidR="00206836" w:rsidRDefault="00206836">
            <w:pPr>
              <w:pStyle w:val="table10"/>
              <w:ind w:firstLine="284"/>
            </w:pPr>
            <w:r>
              <w:t>осваивающих содержание образовательной программы дополнительного образования детей и молодежи;</w:t>
            </w:r>
          </w:p>
          <w:p w:rsidR="00206836" w:rsidRDefault="00206836">
            <w:pPr>
              <w:pStyle w:val="table10"/>
              <w:ind w:firstLine="284"/>
            </w:pPr>
            <w:r>
              <w:t>вовлеченных в мероприятия шестого школьного дня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Количество участников/процент победителей (от количества участников):</w:t>
            </w:r>
          </w:p>
          <w:p w:rsidR="00206836" w:rsidRDefault="00206836">
            <w:pPr>
              <w:pStyle w:val="table10"/>
              <w:ind w:firstLine="284"/>
            </w:pPr>
            <w:r>
              <w:t>III этапа республиканской олимпиады по учебным предметам, заключительного этапа республиканской олимпиады по учебным предметам, международных олимпиад, конкурсов, конференций, турниров по учебным предметам, на которые направляет Министерство образования, республиканского конкурса работ исследовательского характера (конференции);</w:t>
            </w:r>
          </w:p>
          <w:p w:rsidR="00206836" w:rsidRDefault="00206836">
            <w:pPr>
              <w:pStyle w:val="table10"/>
              <w:ind w:firstLine="284"/>
            </w:pPr>
            <w:r>
              <w:t xml:space="preserve">спортивных соревнований, творческих мероприятий, теле- и </w:t>
            </w:r>
            <w:proofErr w:type="spellStart"/>
            <w:r>
              <w:t>радиопроектов</w:t>
            </w:r>
            <w:proofErr w:type="spellEnd"/>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Доля выпускников, имеющих средний балл свидетельства об общем базовом образовании 6 баллов и ниже (в процентах от общего количества выпускников, получивших свидетельства об общем базовом образовании), продолживших получение образования в учреждениях профессионально-технического и среднего специального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Количество публикаций в средствах массовой информации, раскрывающих опыт работы учреждения образования и педагогических работников учреждения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8. Количество авторов учебников, учебных и учебно-методических пособий, официально утвержденных или допущенных в качестве соответствующего вида учебного издания Министерством образования </w:t>
            </w:r>
          </w:p>
        </w:tc>
      </w:tr>
      <w:tr w:rsidR="00206836">
        <w:trPr>
          <w:trHeight w:val="238"/>
        </w:trPr>
        <w:tc>
          <w:tcPr>
            <w:tcW w:w="1286"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2. Создание </w:t>
            </w:r>
            <w:proofErr w:type="spellStart"/>
            <w:r>
              <w:t>здоровьесберегающих</w:t>
            </w:r>
            <w:proofErr w:type="spellEnd"/>
            <w:r>
              <w:t xml:space="preserve"> условий</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Количество зафиксированных случаев травматизма обучающихся во время образовательного процесса</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3. Состояние материально-технической базы </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10. Обеспеченность современными средствами обучения: наличие учебно-методических комплексов и электронных средств обучения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11. Доля компьютеров, подключенных по широкополосному доступу к глобальной компьютерной сети Интернет (в процентах от общего количества компьютеров)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12. Выполнение доведенных показателей по энергосбережению</w:t>
            </w:r>
          </w:p>
        </w:tc>
      </w:tr>
    </w:tbl>
    <w:p w:rsidR="00206836" w:rsidRDefault="00206836" w:rsidP="00206836">
      <w:pPr>
        <w:pStyle w:val="newncpi"/>
      </w:pPr>
      <w:r>
        <w:t> </w:t>
      </w:r>
      <w:r>
        <w:br w:type="page"/>
      </w:r>
    </w:p>
    <w:p w:rsidR="00206836" w:rsidRDefault="00206836" w:rsidP="00206836">
      <w:pPr>
        <w:pStyle w:val="newncpi"/>
      </w:pPr>
      <w:r>
        <w:lastRenderedPageBreak/>
        <w:t>Таблица 3</w:t>
      </w:r>
    </w:p>
    <w:p w:rsidR="00206836" w:rsidRDefault="00206836">
      <w:pPr>
        <w:pStyle w:val="newncpi"/>
      </w:pPr>
      <w:r>
        <w:t> </w:t>
      </w:r>
    </w:p>
    <w:p w:rsidR="00206836" w:rsidRDefault="00206836">
      <w:pPr>
        <w:pStyle w:val="newncpi0"/>
        <w:jc w:val="center"/>
      </w:pPr>
      <w:r>
        <w:rPr>
          <w:b/>
          <w:bCs/>
        </w:rPr>
        <w:t>Учреждения специального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2"/>
        <w:gridCol w:w="7398"/>
      </w:tblGrid>
      <w:tr w:rsidR="00206836">
        <w:trPr>
          <w:trHeight w:val="238"/>
        </w:trPr>
        <w:tc>
          <w:tcPr>
            <w:tcW w:w="1286"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14"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Обеспеченность педагогическими работниками (процент от штатной численности)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педагогических работников (в процентах от общего количества педагогических работников), имеющих:</w:t>
            </w:r>
          </w:p>
          <w:p w:rsidR="00206836" w:rsidRDefault="00206836">
            <w:pPr>
              <w:pStyle w:val="table10"/>
              <w:ind w:firstLine="284"/>
            </w:pPr>
            <w:r>
              <w:t>высшее образование по профилям «Педагогика», «Педагогика. Профессиональное образование» (направление «Специальное образование»);</w:t>
            </w:r>
          </w:p>
          <w:p w:rsidR="00206836" w:rsidRDefault="00206836">
            <w:pPr>
              <w:pStyle w:val="table10"/>
              <w:ind w:firstLine="284"/>
            </w:pPr>
            <w:r>
              <w:t>высшую квалификационную категорию;</w:t>
            </w:r>
          </w:p>
          <w:p w:rsidR="00206836" w:rsidRDefault="00206836">
            <w:pPr>
              <w:pStyle w:val="table10"/>
              <w:ind w:firstLine="284"/>
            </w:pPr>
            <w:r>
              <w:t>первую квалификационную категорию</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грамотами, 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Количество:</w:t>
            </w:r>
          </w:p>
          <w:p w:rsidR="00206836" w:rsidRDefault="00206836">
            <w:pPr>
              <w:pStyle w:val="table10"/>
              <w:ind w:firstLine="284"/>
            </w:pPr>
            <w:r>
              <w:t xml:space="preserve">победителей международных (в том числе Союзного государства) олимпиад, конкурсов, турниров, фестивалей, конференций, симпозиумов, других образовательных мероприятий, спортивных соревнований, художественно-творческих мероприятий, теле- и </w:t>
            </w:r>
            <w:proofErr w:type="spellStart"/>
            <w:r>
              <w:t>радиопроектов</w:t>
            </w:r>
            <w:proofErr w:type="spellEnd"/>
            <w:r>
              <w:t>;</w:t>
            </w:r>
          </w:p>
          <w:p w:rsidR="00206836" w:rsidRDefault="00206836">
            <w:pPr>
              <w:pStyle w:val="table10"/>
              <w:ind w:firstLine="284"/>
            </w:pPr>
            <w:r>
              <w:t>участников/процент победителей (от количества участников) III этапа республиканской олимпиады по учебным предметам, заключительного этапа республиканской олимпиады по учебным предметам, республиканского конкурса работ исследовательского характера (конференции);</w:t>
            </w:r>
          </w:p>
          <w:p w:rsidR="00206836" w:rsidRDefault="00206836">
            <w:pPr>
              <w:pStyle w:val="table10"/>
              <w:ind w:firstLine="284"/>
            </w:pPr>
            <w:r>
              <w:t xml:space="preserve">участников/процент победителей (от количества участников) спортивных соревнований, творческих мероприятий, теле- и </w:t>
            </w:r>
            <w:proofErr w:type="spellStart"/>
            <w:r>
              <w:t>радиопроектов</w:t>
            </w:r>
            <w:proofErr w:type="spellEnd"/>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Доля обучающихся (в процентах от общего количества обучающихся):</w:t>
            </w:r>
          </w:p>
          <w:p w:rsidR="00206836" w:rsidRDefault="00206836">
            <w:pPr>
              <w:pStyle w:val="table10"/>
              <w:ind w:firstLine="284"/>
            </w:pPr>
            <w:r>
              <w:t>посещающих факультативные занятия;</w:t>
            </w:r>
          </w:p>
          <w:p w:rsidR="00206836" w:rsidRDefault="00206836">
            <w:pPr>
              <w:pStyle w:val="table10"/>
              <w:ind w:firstLine="284"/>
            </w:pPr>
            <w:r>
              <w:t>осваивающих содержание образовательной программы дополнительного образования детей и молодежи;</w:t>
            </w:r>
          </w:p>
          <w:p w:rsidR="00206836" w:rsidRDefault="00206836">
            <w:pPr>
              <w:pStyle w:val="table10"/>
              <w:ind w:firstLine="284"/>
            </w:pPr>
            <w:r>
              <w:t>вовлеченных в мероприятия шестого школьного дня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Количество мероприятий, проведенных с участием обучающихся из числа лиц с особенностями психофизического развития и иных лиц</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Количество публикаций в средствах массовой информации, раскрывающих опыт работы учреждения образования и педагогических работников учреждения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8. Количество авторов учебников, учебных пособий, официально утвержденных или допущенных в качестве соответствующего вида учебного издания Министерством образования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Реализация проектов (программ) международной технической или гуманитарной помощи</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2. Социальная адаптация</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10. Доля выпускников, получающих профессионально-техническое, среднее специальное, высшее образование, дополнительное образование взрослых, трудоустроенных (в процентах от общего количества выпускников)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11. Доля выпускников центров коррекционно-развивающего обучения и реабилитации, принятых в отделения дневного пребывания для инвалидов территориальных центров социального обслуживания населения (в процентах от общего количества выпускников)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12. Доля выпускников, не продолжающих обучение и не работающих в связи с инвалидностью (в процентах от общего количества выпускников)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13. Количество зафиксированных случаев травматизма обучающихся во время образовательного процесса</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3. Состояние материально-технической базы </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14. Доля компьютеров, подключенных по широкополосному доступу к глобальной компьютерной сети Интернет (в процентах от общего количества компьютеров)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15. Выполнение доведенных показателей по энергосбережению</w:t>
            </w:r>
          </w:p>
        </w:tc>
      </w:tr>
    </w:tbl>
    <w:p w:rsidR="00206836" w:rsidRDefault="00206836">
      <w:pPr>
        <w:pStyle w:val="newncpi"/>
      </w:pPr>
      <w:r>
        <w:t> </w:t>
      </w:r>
    </w:p>
    <w:p w:rsidR="00206836" w:rsidRDefault="00206836">
      <w:pPr>
        <w:pStyle w:val="onestring"/>
      </w:pPr>
      <w:r>
        <w:br w:type="page"/>
      </w:r>
    </w:p>
    <w:p w:rsidR="00206836" w:rsidRDefault="00206836">
      <w:pPr>
        <w:pStyle w:val="onestring"/>
      </w:pPr>
      <w:r>
        <w:lastRenderedPageBreak/>
        <w:t>Таблица 4</w:t>
      </w:r>
    </w:p>
    <w:p w:rsidR="00206836" w:rsidRDefault="00206836">
      <w:pPr>
        <w:pStyle w:val="newncpi"/>
      </w:pPr>
      <w:r>
        <w:t> </w:t>
      </w:r>
    </w:p>
    <w:p w:rsidR="00206836" w:rsidRDefault="00206836">
      <w:pPr>
        <w:pStyle w:val="newncpi0"/>
        <w:jc w:val="center"/>
      </w:pPr>
      <w:r>
        <w:rPr>
          <w:b/>
          <w:bCs/>
        </w:rPr>
        <w:t>Учреждения профессионально-технического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4"/>
        <w:gridCol w:w="7396"/>
      </w:tblGrid>
      <w:tr w:rsidR="00206836">
        <w:trPr>
          <w:trHeight w:val="238"/>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Обеспеченность педагогическими работниками (процент от штатной численности)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преподавателей (в процентах от общего количества преподавателей), имеющих:</w:t>
            </w:r>
          </w:p>
          <w:p w:rsidR="00206836" w:rsidRDefault="00206836">
            <w:pPr>
              <w:pStyle w:val="table10"/>
              <w:ind w:firstLine="284"/>
            </w:pPr>
            <w:r>
              <w:t>высшую квалификационную категорию;</w:t>
            </w:r>
          </w:p>
          <w:p w:rsidR="00206836" w:rsidRDefault="00206836">
            <w:pPr>
              <w:pStyle w:val="table10"/>
              <w:ind w:firstLine="284"/>
            </w:pPr>
            <w:r>
              <w:t xml:space="preserve">первую квалификационную категорию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Доля мастеров производственного обучения (в процентах от общего количества мастеров производственного обучения), имеющих:</w:t>
            </w:r>
          </w:p>
          <w:p w:rsidR="00206836" w:rsidRDefault="00206836">
            <w:pPr>
              <w:pStyle w:val="table10"/>
              <w:ind w:firstLine="284"/>
            </w:pPr>
            <w:r>
              <w:t>высшую квалификационную категорию;</w:t>
            </w:r>
          </w:p>
          <w:p w:rsidR="00206836" w:rsidRDefault="00206836">
            <w:pPr>
              <w:pStyle w:val="table10"/>
              <w:ind w:firstLine="284"/>
            </w:pPr>
            <w:r>
              <w:t xml:space="preserve">первую квалификационную категорию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грамотами, 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Выполнение контрольных цифр приема для получения профессионально-технического образования (в процентах от плана)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Доля обучающихся по программам профессионально-технического образования в дневной форме (в процентах от общего количества обучающихся в дневной форме):</w:t>
            </w:r>
          </w:p>
          <w:p w:rsidR="00206836" w:rsidRDefault="00206836">
            <w:pPr>
              <w:pStyle w:val="table10"/>
              <w:ind w:firstLine="284"/>
            </w:pPr>
            <w:r>
              <w:t>участвующих в волонтерском движении;</w:t>
            </w:r>
          </w:p>
          <w:p w:rsidR="00206836" w:rsidRDefault="00206836">
            <w:pPr>
              <w:pStyle w:val="table10"/>
              <w:ind w:firstLine="284"/>
            </w:pPr>
            <w:r>
              <w:t>зачисленных в студенческие отряды</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Доля выпускников с повышенным уровнем квалификации (4-й разряд и выше) (в процентах от общего количества выпускников)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8. Количество участников/процент победителей (от количества участников) областного (Минского городского) и заключительного этапов республиканских и международных олимпиад, конкурсов профессионального мастерства, интеллектуальных, спортивных и творческих конкурсов и турниров, мероприятий Союзного государства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Количество публикаций в средствах массовой информации, раскрывающих опыт работы учреждения образования и педагогических работников учреждения образования</w:t>
            </w:r>
          </w:p>
        </w:tc>
      </w:tr>
      <w:tr w:rsidR="00206836">
        <w:trPr>
          <w:trHeight w:val="238"/>
        </w:trPr>
        <w:tc>
          <w:tcPr>
            <w:tcW w:w="1287"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2. Создание </w:t>
            </w:r>
            <w:proofErr w:type="spellStart"/>
            <w:r>
              <w:t>здоровьесберегающих</w:t>
            </w:r>
            <w:proofErr w:type="spellEnd"/>
            <w:r>
              <w:t xml:space="preserve"> условий</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10. Количество зафиксированных случаев травматизма обучающихся во время образовательного процесса </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3. Социально-экономическая деятельность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11. Доля доходов, полученных от внебюджетной деятельности (в процентах от общего объема финансирования учреждения образования без учета капитальных вложений)</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12. Объем экспорта услуг в сфере образования (тыс. долларов США)</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4. Состояние материально-технической базы </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13. Доля учебных предметов, обеспеченных учебно-методическими комплексами (в процентах от общего количества учебных предметов)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14. Оснащенность компьютерами с широкополосным доступом в Интернет (в процентах к общему числу обучающихся в дневной форме получения профессионально-технического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15. Выполнение доведенных показателей по энергосбережению</w:t>
            </w:r>
          </w:p>
        </w:tc>
      </w:tr>
    </w:tbl>
    <w:p w:rsidR="00206836" w:rsidRDefault="00206836">
      <w:pPr>
        <w:pStyle w:val="newncpi"/>
      </w:pPr>
      <w:r>
        <w:t> </w:t>
      </w:r>
    </w:p>
    <w:p w:rsidR="00206836" w:rsidRDefault="00206836">
      <w:pPr>
        <w:pStyle w:val="onestring"/>
      </w:pPr>
      <w:r>
        <w:br w:type="page"/>
      </w:r>
    </w:p>
    <w:p w:rsidR="00206836" w:rsidRDefault="00206836">
      <w:pPr>
        <w:pStyle w:val="onestring"/>
      </w:pPr>
      <w:r>
        <w:lastRenderedPageBreak/>
        <w:t>Таблица 5</w:t>
      </w:r>
    </w:p>
    <w:p w:rsidR="00206836" w:rsidRDefault="00206836">
      <w:pPr>
        <w:pStyle w:val="newncpi"/>
      </w:pPr>
      <w:r>
        <w:t> </w:t>
      </w:r>
    </w:p>
    <w:p w:rsidR="00206836" w:rsidRDefault="00206836">
      <w:pPr>
        <w:pStyle w:val="newncpi0"/>
        <w:jc w:val="center"/>
      </w:pPr>
      <w:r>
        <w:rPr>
          <w:b/>
          <w:bCs/>
        </w:rPr>
        <w:t>Учреждения среднего специального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4"/>
        <w:gridCol w:w="7396"/>
      </w:tblGrid>
      <w:tr w:rsidR="00206836">
        <w:trPr>
          <w:trHeight w:val="238"/>
        </w:trPr>
        <w:tc>
          <w:tcPr>
            <w:tcW w:w="1287"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Обеспеченность педагогическими работниками (процент от штатной численности)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педагогических работников (в процентах от общего количества педагогических работников), имеющих;</w:t>
            </w:r>
          </w:p>
          <w:p w:rsidR="00206836" w:rsidRDefault="00206836">
            <w:pPr>
              <w:pStyle w:val="table10"/>
              <w:ind w:firstLine="284"/>
            </w:pPr>
            <w:r>
              <w:t>высшую квалификационную категорию;</w:t>
            </w:r>
          </w:p>
          <w:p w:rsidR="00206836" w:rsidRDefault="00206836">
            <w:pPr>
              <w:pStyle w:val="table10"/>
              <w:ind w:firstLine="284"/>
            </w:pPr>
            <w:r>
              <w:t xml:space="preserve">первую квалификационную категорию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Доля мастеров производственного обучения (в процентах от общего количества мастеров производственного обучения), имеющих:</w:t>
            </w:r>
          </w:p>
          <w:p w:rsidR="00206836" w:rsidRDefault="00206836">
            <w:pPr>
              <w:pStyle w:val="table10"/>
              <w:ind w:firstLine="284"/>
            </w:pPr>
            <w:r>
              <w:t>высшую квалификационную категорию;</w:t>
            </w:r>
          </w:p>
          <w:p w:rsidR="00206836" w:rsidRDefault="00206836">
            <w:pPr>
              <w:pStyle w:val="table10"/>
              <w:ind w:firstLine="284"/>
            </w:pPr>
            <w:r>
              <w:t xml:space="preserve">первую квалификационную категорию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грамотами, 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Выполнение контрольных цифр приема за счет средств бюджета для получения среднего специального образования (в процентах от плана)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Доля обучающихся по программам среднего специального образования в дневной форме (в процентах от общего количества обучающихся в дневной форме):</w:t>
            </w:r>
          </w:p>
          <w:p w:rsidR="00206836" w:rsidRDefault="00206836">
            <w:pPr>
              <w:pStyle w:val="table10"/>
              <w:ind w:firstLine="284"/>
            </w:pPr>
            <w:r>
              <w:t>участвующих в волонтерском движении;</w:t>
            </w:r>
          </w:p>
          <w:p w:rsidR="00206836" w:rsidRDefault="00206836">
            <w:pPr>
              <w:pStyle w:val="table10"/>
              <w:ind w:firstLine="284"/>
            </w:pPr>
            <w:r>
              <w:t>зачисленных в студенческие отряды</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Количество участников/процент победителей (от количества участников) областного (Минского городского) и заключительного этапов республиканских и международных олимпиад, интеллектуальных, спортивных и творческих конкурсов и турниров, конкурсов профессионального мастерства, мероприятий Союзного государства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8. Количество публикаций в средствах массовой информации, раскрывающих опыт работы учреждения образования и педагогических работников учреждения образования</w:t>
            </w:r>
          </w:p>
        </w:tc>
      </w:tr>
      <w:tr w:rsidR="00206836">
        <w:trPr>
          <w:trHeight w:val="238"/>
        </w:trPr>
        <w:tc>
          <w:tcPr>
            <w:tcW w:w="1287"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2. Создание </w:t>
            </w:r>
            <w:proofErr w:type="spellStart"/>
            <w:r>
              <w:t>здоровьесберегающих</w:t>
            </w:r>
            <w:proofErr w:type="spellEnd"/>
            <w:r>
              <w:t xml:space="preserve"> условий </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9. Количество зафиксированных случаев травматизма обучающихся по программам среднего специального образования во время образовательного процесса </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3. Социально-экономическая деятельность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10. Доля доходов, полученных от внебюджетной деятельности (в процентах от общего объема финансирования учреждения образования без учета капитальных вложений)</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11. Объем экспорта услуг в сфере образования (тыс. долларов США), всего</w:t>
            </w:r>
          </w:p>
        </w:tc>
      </w:tr>
      <w:tr w:rsidR="00206836">
        <w:trPr>
          <w:trHeight w:val="238"/>
        </w:trPr>
        <w:tc>
          <w:tcPr>
            <w:tcW w:w="12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4. Состояние материально-технической базы </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12. Доля учебных дисциплин, обеспеченных учебно-методическими комплексами (в процентах от общего количества учебных дисциплин)</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13. Оснащенность компьютерами с широкополосным доступом в Интернет (в процентах к общему числу обучающихся в дневной форме получения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14. Обеспеченность учебными кабинетами, лабораториями в соответствии с типовыми учебными планами по специальности/обеспеченность учебным оборудованием в соответствии с перечнями, утвержденными типовыми (учебными) программами по учебным дисциплинам (практике) специальностей среднего специального образования (в процентах от перечня)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3"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15. Выполнение доведенных показателей по энергосбережению</w:t>
            </w:r>
          </w:p>
        </w:tc>
      </w:tr>
    </w:tbl>
    <w:p w:rsidR="00206836" w:rsidRDefault="00206836">
      <w:pPr>
        <w:pStyle w:val="newncpi"/>
      </w:pPr>
      <w:r>
        <w:t> </w:t>
      </w:r>
    </w:p>
    <w:p w:rsidR="00206836" w:rsidRDefault="00206836">
      <w:pPr>
        <w:pStyle w:val="onestring"/>
      </w:pPr>
      <w:r>
        <w:br w:type="page"/>
      </w:r>
    </w:p>
    <w:p w:rsidR="00206836" w:rsidRDefault="00206836">
      <w:pPr>
        <w:pStyle w:val="onestring"/>
      </w:pPr>
      <w:r>
        <w:lastRenderedPageBreak/>
        <w:t>Таблица 6</w:t>
      </w:r>
    </w:p>
    <w:p w:rsidR="00206836" w:rsidRDefault="00206836">
      <w:pPr>
        <w:pStyle w:val="newncpi"/>
      </w:pPr>
      <w:r>
        <w:t> </w:t>
      </w:r>
    </w:p>
    <w:p w:rsidR="00206836" w:rsidRDefault="00206836">
      <w:pPr>
        <w:pStyle w:val="newncpi0"/>
        <w:jc w:val="center"/>
      </w:pPr>
      <w:r>
        <w:rPr>
          <w:b/>
          <w:bCs/>
        </w:rPr>
        <w:t>Учреждения высшего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2"/>
        <w:gridCol w:w="7398"/>
      </w:tblGrid>
      <w:tr w:rsidR="00206836">
        <w:trPr>
          <w:trHeight w:val="238"/>
        </w:trPr>
        <w:tc>
          <w:tcPr>
            <w:tcW w:w="1286"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14"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Доля педагогических работников из числа профессорско-преподавательского состава (в процентах от общего количества педагогических работников из числа профессорско-преподавательского состава):</w:t>
            </w:r>
          </w:p>
          <w:p w:rsidR="00206836" w:rsidRDefault="00206836">
            <w:pPr>
              <w:pStyle w:val="table10"/>
              <w:ind w:firstLine="284"/>
            </w:pPr>
            <w:r>
              <w:t>имеющих ученую степень, ученое звание;</w:t>
            </w:r>
          </w:p>
          <w:p w:rsidR="00206836" w:rsidRDefault="00206836">
            <w:pPr>
              <w:pStyle w:val="table10"/>
              <w:ind w:firstLine="284"/>
            </w:pPr>
            <w:r>
              <w:t>прошедших повышение квалификации (стажировку)</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грамотами, 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Наличие сертифицированной системы менеджмента качества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Выполнение контрольных цифр приема по специальностям высшего образования I ступени за счет средств республиканского и (или) местных бюджетов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Доля обучающихся, получающих образование в дневной форме получения образования, ставших победителями (в процентах от общего количества обучающихся, получающих образование в дневной форме получения образования):</w:t>
            </w:r>
          </w:p>
          <w:p w:rsidR="00206836" w:rsidRDefault="00206836">
            <w:pPr>
              <w:pStyle w:val="table10"/>
              <w:ind w:firstLine="284"/>
            </w:pPr>
            <w:r>
              <w:t xml:space="preserve">международных (в том числе Союзного государства) олимпиад, конкурсов, турниров, фестивалей, конференций, симпозиумов, других образовательных мероприятий, спортивных соревнований, мероприятий идеологической и воспитательной направленности, художественно-творческих мероприятий, теле- и </w:t>
            </w:r>
            <w:proofErr w:type="spellStart"/>
            <w:r>
              <w:t>радиопроектов</w:t>
            </w:r>
            <w:proofErr w:type="spellEnd"/>
            <w:r>
              <w:t>;</w:t>
            </w:r>
          </w:p>
          <w:p w:rsidR="00206836" w:rsidRDefault="00206836">
            <w:pPr>
              <w:pStyle w:val="table10"/>
              <w:ind w:firstLine="284"/>
            </w:pPr>
            <w:r>
              <w:t xml:space="preserve">республиканских олимпиад, конкурсов, турниров, фестивалей, конференций, симпозиумов, других образовательных мероприятий, спортивных соревнований, мероприятий идеологической и воспитательной направленности, художественно-творческих мероприятий, теле- и </w:t>
            </w:r>
            <w:proofErr w:type="spellStart"/>
            <w:r>
              <w:t>радиопроектов</w:t>
            </w:r>
            <w:proofErr w:type="spellEnd"/>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Доля обучающихся (в процентах от общего количества обучающихся):</w:t>
            </w:r>
          </w:p>
          <w:p w:rsidR="00206836" w:rsidRDefault="00206836">
            <w:pPr>
              <w:pStyle w:val="table10"/>
              <w:ind w:firstLine="284"/>
            </w:pPr>
            <w:r>
              <w:t>получающих образование в дневной форме получения образования;</w:t>
            </w:r>
          </w:p>
          <w:p w:rsidR="00206836" w:rsidRDefault="00206836">
            <w:pPr>
              <w:pStyle w:val="table10"/>
              <w:ind w:firstLine="284"/>
            </w:pPr>
            <w:r>
              <w:t>участвующих в волонтерском движении;</w:t>
            </w:r>
          </w:p>
          <w:p w:rsidR="00206836" w:rsidRDefault="00206836">
            <w:pPr>
              <w:pStyle w:val="table10"/>
              <w:ind w:firstLine="284"/>
            </w:pPr>
            <w:r>
              <w:t>зачисленных в студенческие отряды;</w:t>
            </w:r>
          </w:p>
          <w:p w:rsidR="00206836" w:rsidRDefault="00206836">
            <w:pPr>
              <w:pStyle w:val="table10"/>
              <w:ind w:firstLine="284"/>
            </w:pPr>
            <w:r>
              <w:t xml:space="preserve">получающих учебную стипендию (оклад денежного содержания)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Доля выпускников, получивших высшее образование I ступени (в процентах от общего количества выпускников, получивших высшее образование I ступени):</w:t>
            </w:r>
          </w:p>
          <w:p w:rsidR="00206836" w:rsidRDefault="00206836">
            <w:pPr>
              <w:pStyle w:val="table10"/>
              <w:ind w:firstLine="284"/>
            </w:pPr>
            <w:r>
              <w:t>прошедших итоговую аттестацию с отметками 9–10 баллов;</w:t>
            </w:r>
          </w:p>
          <w:p w:rsidR="00206836" w:rsidRDefault="00206836">
            <w:pPr>
              <w:pStyle w:val="table10"/>
              <w:ind w:firstLine="284"/>
            </w:pPr>
            <w:r>
              <w:t>получивших диплом о высшем образовании с отличием</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8. Количество специальностей, по которым образовательный процесс осуществляется на иностранном языке</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Доля аспирантов/адъюнктов (докторантов) (в процентах от общего выпуска):</w:t>
            </w:r>
          </w:p>
          <w:p w:rsidR="00206836" w:rsidRDefault="00206836">
            <w:pPr>
              <w:pStyle w:val="table10"/>
              <w:ind w:firstLine="284"/>
            </w:pPr>
            <w:r>
              <w:t>защитивших диссертации в срок обучения;</w:t>
            </w:r>
          </w:p>
          <w:p w:rsidR="00206836" w:rsidRDefault="00206836">
            <w:pPr>
              <w:pStyle w:val="table10"/>
              <w:ind w:firstLine="284"/>
            </w:pPr>
            <w:r>
              <w:t>закончивших обучение с прохождением предварительной экспертизы диссертации</w:t>
            </w:r>
          </w:p>
        </w:tc>
      </w:tr>
      <w:tr w:rsidR="00206836" w:rsidRPr="007F4F0C">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10. Позиция учреждения высшего образования в международных рейтингах:</w:t>
            </w:r>
          </w:p>
          <w:p w:rsidR="00206836" w:rsidRPr="00206836" w:rsidRDefault="00206836">
            <w:pPr>
              <w:pStyle w:val="table10"/>
              <w:ind w:firstLine="284"/>
              <w:rPr>
                <w:lang w:val="en-US"/>
              </w:rPr>
            </w:pPr>
            <w:r w:rsidRPr="00206836">
              <w:rPr>
                <w:lang w:val="en-US"/>
              </w:rPr>
              <w:t>QS World University Rankings;</w:t>
            </w:r>
          </w:p>
          <w:p w:rsidR="00206836" w:rsidRPr="00206836" w:rsidRDefault="00206836">
            <w:pPr>
              <w:pStyle w:val="table10"/>
              <w:ind w:firstLine="284"/>
              <w:rPr>
                <w:lang w:val="en-US"/>
              </w:rPr>
            </w:pPr>
            <w:proofErr w:type="spellStart"/>
            <w:r w:rsidRPr="00206836">
              <w:rPr>
                <w:lang w:val="en-US"/>
              </w:rPr>
              <w:t>Scimago</w:t>
            </w:r>
            <w:proofErr w:type="spellEnd"/>
            <w:r w:rsidRPr="00206836">
              <w:rPr>
                <w:lang w:val="en-US"/>
              </w:rPr>
              <w:t xml:space="preserve"> Institutions Rankings;</w:t>
            </w:r>
          </w:p>
          <w:p w:rsidR="00206836" w:rsidRPr="00206836" w:rsidRDefault="00206836">
            <w:pPr>
              <w:pStyle w:val="table10"/>
              <w:ind w:firstLine="284"/>
              <w:rPr>
                <w:lang w:val="en-US"/>
              </w:rPr>
            </w:pPr>
            <w:proofErr w:type="spellStart"/>
            <w:r w:rsidRPr="00206836">
              <w:rPr>
                <w:lang w:val="en-US"/>
              </w:rPr>
              <w:t>Webometrics</w:t>
            </w:r>
            <w:proofErr w:type="spellEnd"/>
            <w:r w:rsidRPr="00206836">
              <w:rPr>
                <w:lang w:val="en-US"/>
              </w:rPr>
              <w:t xml:space="preserve"> Ranking of World Universities</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Pr="00206836" w:rsidRDefault="00206836">
            <w:pPr>
              <w:rPr>
                <w:rFonts w:eastAsiaTheme="minorEastAsia"/>
                <w:sz w:val="20"/>
                <w:szCs w:val="20"/>
                <w:lang w:val="en-US"/>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11. Количество публикаций (в расчете на одного педагогического работника из числа профессорско-преподавательского состава):</w:t>
            </w:r>
          </w:p>
          <w:p w:rsidR="00206836" w:rsidRDefault="00206836">
            <w:pPr>
              <w:pStyle w:val="table10"/>
              <w:ind w:firstLine="284"/>
            </w:pPr>
            <w:r>
              <w:t>в научных журналах, включенных в перечень научных изданий для опубликования результатов диссертационных исследований;</w:t>
            </w:r>
          </w:p>
          <w:p w:rsidR="00206836" w:rsidRDefault="00206836">
            <w:pPr>
              <w:pStyle w:val="table10"/>
              <w:ind w:firstLine="284"/>
            </w:pPr>
            <w:r>
              <w:t xml:space="preserve">в журналах, входящих в базу данных </w:t>
            </w:r>
            <w:proofErr w:type="spellStart"/>
            <w:r>
              <w:t>SciVerse</w:t>
            </w:r>
            <w:proofErr w:type="spellEnd"/>
            <w:r>
              <w:t xml:space="preserve"> </w:t>
            </w:r>
            <w:proofErr w:type="spellStart"/>
            <w:r>
              <w:t>Scopus</w:t>
            </w:r>
            <w:proofErr w:type="spellEnd"/>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12. Количество выпущенных учебных изданий (в расчете на одного педагогического работника из числа профессорско-преподавательского состава):</w:t>
            </w:r>
          </w:p>
          <w:p w:rsidR="00206836" w:rsidRDefault="00206836">
            <w:pPr>
              <w:pStyle w:val="table10"/>
              <w:ind w:firstLine="284"/>
            </w:pPr>
            <w:r>
              <w:t>всего;</w:t>
            </w:r>
          </w:p>
          <w:p w:rsidR="00206836" w:rsidRDefault="00206836">
            <w:pPr>
              <w:pStyle w:val="table10"/>
              <w:ind w:firstLine="284"/>
            </w:pPr>
            <w:r>
              <w:t>в Республике Беларусь</w:t>
            </w:r>
          </w:p>
        </w:tc>
      </w:tr>
      <w:tr w:rsidR="00206836">
        <w:trPr>
          <w:trHeight w:val="238"/>
        </w:trPr>
        <w:tc>
          <w:tcPr>
            <w:tcW w:w="1286"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rsidP="00206836">
            <w:pPr>
              <w:pStyle w:val="table10"/>
              <w:pageBreakBefore/>
            </w:pPr>
            <w:r>
              <w:lastRenderedPageBreak/>
              <w:t xml:space="preserve">2. Создание </w:t>
            </w:r>
            <w:proofErr w:type="spellStart"/>
            <w:r>
              <w:t>здоровьесберегающих</w:t>
            </w:r>
            <w:proofErr w:type="spellEnd"/>
            <w:r>
              <w:t xml:space="preserve"> условий</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13. Количество зафиксированных случаев травматизма обучающихся во время образовательного процесса </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3. Социально-экономическая деятельность</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14. Доля доходов, полученных от внебюджетной деятельности (в процентах от общего объема финансирования учреждения образования без учета капитальных вложений)</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15. Объем экспорта услуг в сфере образования (тыс. долларов США)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16. Объем экспорта высокотехнологичных и наукоемких товаров и услуг (тыс. долларов США) </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17. Объем внебюджетных средств, привлеченных на финансирование научной, научно-технической и инновационной деятельности (тыс. рублей)</w:t>
            </w:r>
          </w:p>
        </w:tc>
      </w:tr>
      <w:tr w:rsidR="00206836">
        <w:trPr>
          <w:trHeight w:val="238"/>
        </w:trPr>
        <w:tc>
          <w:tcPr>
            <w:tcW w:w="128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4. Состояние материально-технической базы </w:t>
            </w: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18. Доля учебных дисциплин, обеспеченных электронными учебно-методическими комплексами (в процентах от общего количества учебных дисциплин)</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19. Объем внебюджетных средств, затраченных на обновление и развитие материально-технической базы (в процентах от общего объема расходов по внебюджетной деятельности)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20. Обеспеченность обучающихся, получающих высшее образование I ступени в дневной форме получения образования, местами в общежитиях (в процентах от общего количества обучающихся, получающих высшее образование I ступени в дневной форме получения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14"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21. Выполнение доведенных показателей по энергосбережению</w:t>
            </w:r>
          </w:p>
        </w:tc>
      </w:tr>
    </w:tbl>
    <w:p w:rsidR="00206836" w:rsidRDefault="00206836">
      <w:pPr>
        <w:pStyle w:val="newncpi"/>
      </w:pPr>
      <w:r>
        <w:t> </w:t>
      </w:r>
    </w:p>
    <w:p w:rsidR="00206836" w:rsidRDefault="00206836">
      <w:pPr>
        <w:pStyle w:val="onestring"/>
      </w:pPr>
      <w:r>
        <w:br w:type="page"/>
      </w:r>
    </w:p>
    <w:p w:rsidR="00206836" w:rsidRDefault="00206836">
      <w:pPr>
        <w:pStyle w:val="onestring"/>
      </w:pPr>
      <w:r>
        <w:lastRenderedPageBreak/>
        <w:t>Таблица 7</w:t>
      </w:r>
    </w:p>
    <w:p w:rsidR="00206836" w:rsidRDefault="00206836">
      <w:pPr>
        <w:pStyle w:val="newncpi"/>
      </w:pPr>
      <w:r>
        <w:t> </w:t>
      </w:r>
    </w:p>
    <w:p w:rsidR="00206836" w:rsidRDefault="00206836">
      <w:pPr>
        <w:pStyle w:val="newncpi0"/>
        <w:jc w:val="center"/>
      </w:pPr>
      <w:r>
        <w:rPr>
          <w:b/>
          <w:bCs/>
        </w:rPr>
        <w:t>Учреждения дополнительного образования детей и молодежи, воспитательно-оздоровительные учреждения, специальные учебно-воспитательные учреждения, специальные лечебно-воспитательные учреждения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12"/>
        <w:gridCol w:w="7548"/>
      </w:tblGrid>
      <w:tr w:rsidR="00206836">
        <w:trPr>
          <w:trHeight w:val="238"/>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789"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21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Обеспеченность педагогическими работниками (в процентах от штатной численности)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педагогических работников (в процентах от общего количества педагогических работников), имеющих:</w:t>
            </w:r>
          </w:p>
          <w:p w:rsidR="00206836" w:rsidRDefault="00206836">
            <w:pPr>
              <w:pStyle w:val="table10"/>
              <w:ind w:firstLine="284"/>
            </w:pPr>
            <w:r>
              <w:t>высшее образование;</w:t>
            </w:r>
          </w:p>
          <w:p w:rsidR="00206836" w:rsidRDefault="00206836">
            <w:pPr>
              <w:pStyle w:val="table10"/>
              <w:ind w:firstLine="284"/>
            </w:pPr>
            <w:r>
              <w:t>высшую квалификационную категорию;</w:t>
            </w:r>
          </w:p>
          <w:p w:rsidR="00206836" w:rsidRDefault="00206836">
            <w:pPr>
              <w:pStyle w:val="table10"/>
              <w:ind w:firstLine="284"/>
            </w:pPr>
            <w:r>
              <w:t>первую квалификационную категорию</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Количество педагогических работников, награжденных:</w:t>
            </w:r>
          </w:p>
          <w:p w:rsidR="00206836" w:rsidRDefault="00206836">
            <w:pPr>
              <w:pStyle w:val="table10"/>
              <w:ind w:firstLine="284"/>
            </w:pPr>
            <w:r>
              <w:t>государственными наградами;</w:t>
            </w:r>
          </w:p>
          <w:p w:rsidR="00206836" w:rsidRDefault="00206836">
            <w:pPr>
              <w:pStyle w:val="table10"/>
              <w:ind w:firstLine="284"/>
            </w:pPr>
            <w:r>
              <w:t>грамотами, почетными грамотами, благодарностями, нагрудными знаками, ценными подарками за достижения в сфере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Количество публикаций в средствах массовой информации, раскрывающих опыт работы учреждения образования и педагогических работников учреждения образования</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Количество участников/процент победителей (от количества участников):</w:t>
            </w:r>
          </w:p>
          <w:p w:rsidR="00206836" w:rsidRDefault="00206836">
            <w:pPr>
              <w:pStyle w:val="table10"/>
              <w:ind w:firstLine="284"/>
            </w:pPr>
            <w:r>
              <w:t xml:space="preserve">международных (в том числе Союзного государства) олимпиад, конкурсов, турниров, фестивалей, конференций, симпозиумов, других образовательных мероприятий, спортивных соревнований, художественно-творческих мероприятий, теле- и </w:t>
            </w:r>
            <w:proofErr w:type="spellStart"/>
            <w:r>
              <w:t>радиопроектов</w:t>
            </w:r>
            <w:proofErr w:type="spellEnd"/>
            <w:r>
              <w:t>;</w:t>
            </w:r>
          </w:p>
          <w:p w:rsidR="00206836" w:rsidRDefault="00206836">
            <w:pPr>
              <w:pStyle w:val="table10"/>
              <w:ind w:firstLine="284"/>
            </w:pPr>
            <w:r>
              <w:t xml:space="preserve">республиканских олимпиад, конкурсов, турниров, фестивалей, конференций, симпозиумов, других образовательных мероприятий, спортивных соревнований, художественно-творческих мероприятий, теле- и </w:t>
            </w:r>
            <w:proofErr w:type="spellStart"/>
            <w:r>
              <w:t>радиопроектов</w:t>
            </w:r>
            <w:proofErr w:type="spellEnd"/>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Количество обучающихся, ставших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Количество объединений по интересам/учащихся в них</w:t>
            </w:r>
          </w:p>
        </w:tc>
      </w:tr>
      <w:tr w:rsidR="00206836">
        <w:trPr>
          <w:trHeight w:val="238"/>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2. Создание </w:t>
            </w:r>
            <w:proofErr w:type="spellStart"/>
            <w:r>
              <w:t>здоровьесберегающих</w:t>
            </w:r>
            <w:proofErr w:type="spellEnd"/>
            <w:r>
              <w:t xml:space="preserve"> условий</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xml:space="preserve">8. Количество зафиксированных случаев травматизма обучающихся во время образовательного процесса </w:t>
            </w:r>
          </w:p>
        </w:tc>
      </w:tr>
      <w:tr w:rsidR="00206836">
        <w:trPr>
          <w:trHeight w:val="238"/>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3. Социально-экономическая деятельность</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Доля доходов, полученных от внебюджетной деятельности (в процентах от общего объема финансирования учреждения образования без учета капитальных вложений)</w:t>
            </w:r>
          </w:p>
        </w:tc>
      </w:tr>
      <w:tr w:rsidR="00206836">
        <w:trPr>
          <w:trHeight w:val="238"/>
        </w:trPr>
        <w:tc>
          <w:tcPr>
            <w:tcW w:w="121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4. Состояние материально-технической базы </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10. Объем внебюджетных средств, затраченных на обновление и развитие материально-технической базы (в процентах от общего объема расходов по внебюджетной деятельности)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789"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11. Выполнение доведенных показателей по энергосбережению</w:t>
            </w:r>
          </w:p>
        </w:tc>
      </w:tr>
    </w:tbl>
    <w:p w:rsidR="00206836" w:rsidRDefault="00206836">
      <w:pPr>
        <w:pStyle w:val="newncpi"/>
      </w:pPr>
      <w:r>
        <w:t> </w:t>
      </w:r>
    </w:p>
    <w:p w:rsidR="00206836" w:rsidRDefault="00206836">
      <w:pPr>
        <w:pStyle w:val="onestring"/>
      </w:pPr>
      <w:r>
        <w:br w:type="page"/>
      </w:r>
    </w:p>
    <w:p w:rsidR="00206836" w:rsidRDefault="00206836">
      <w:pPr>
        <w:pStyle w:val="onestring"/>
      </w:pPr>
      <w:r>
        <w:lastRenderedPageBreak/>
        <w:t>Таблица 8</w:t>
      </w:r>
    </w:p>
    <w:p w:rsidR="00206836" w:rsidRDefault="00206836">
      <w:pPr>
        <w:pStyle w:val="newncpi"/>
      </w:pPr>
      <w:r>
        <w:t> </w:t>
      </w:r>
    </w:p>
    <w:p w:rsidR="00206836" w:rsidRDefault="00206836">
      <w:pPr>
        <w:pStyle w:val="newncpi0"/>
        <w:jc w:val="center"/>
      </w:pPr>
      <w:r>
        <w:rPr>
          <w:b/>
          <w:bCs/>
        </w:rPr>
        <w:t>Учреждения дополнительного образования взрослых</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05"/>
        <w:gridCol w:w="6755"/>
      </w:tblGrid>
      <w:tr w:rsidR="00206836">
        <w:trPr>
          <w:trHeight w:val="238"/>
        </w:trPr>
        <w:tc>
          <w:tcPr>
            <w:tcW w:w="1609"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Критерии</w:t>
            </w:r>
          </w:p>
        </w:tc>
        <w:tc>
          <w:tcPr>
            <w:tcW w:w="3391"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показателей</w:t>
            </w:r>
          </w:p>
        </w:tc>
      </w:tr>
      <w:tr w:rsidR="00206836">
        <w:trPr>
          <w:trHeight w:val="238"/>
        </w:trPr>
        <w:tc>
          <w:tcPr>
            <w:tcW w:w="16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Качество образования</w:t>
            </w: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 Доля педагогических работников (в процентах от общего количества педагогических работников):</w:t>
            </w:r>
          </w:p>
          <w:p w:rsidR="00206836" w:rsidRDefault="00206836">
            <w:pPr>
              <w:pStyle w:val="table10"/>
              <w:ind w:firstLine="284"/>
            </w:pPr>
            <w:r>
              <w:t>имеющих ученую степень и (или) ученое звание;</w:t>
            </w:r>
          </w:p>
          <w:p w:rsidR="00206836" w:rsidRDefault="00206836">
            <w:pPr>
              <w:pStyle w:val="table10"/>
              <w:ind w:firstLine="284"/>
            </w:pPr>
            <w:r>
              <w:t>прошедших повышение квалификации (стажировку) за рубежом;</w:t>
            </w:r>
          </w:p>
          <w:p w:rsidR="00206836" w:rsidRDefault="00206836">
            <w:pPr>
              <w:pStyle w:val="table10"/>
              <w:ind w:firstLine="284"/>
            </w:pPr>
            <w:r>
              <w:t>принявших участие в международных программах академической мобильности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2. Доля учебных дисциплин, учебных программ повышения квалификации, преподаваемых на иностранном языке (в процентах от общего количества учебных дисциплин)</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3. Количество публикаций в научных журналах, включенных в перечень научных изданий для опубликования результатов диссертационных исследований</w:t>
            </w:r>
          </w:p>
        </w:tc>
      </w:tr>
      <w:tr w:rsidR="00206836">
        <w:trPr>
          <w:trHeight w:val="238"/>
        </w:trPr>
        <w:tc>
          <w:tcPr>
            <w:tcW w:w="1609"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2. Создание </w:t>
            </w:r>
            <w:proofErr w:type="spellStart"/>
            <w:r>
              <w:t>здоровьесберегающих</w:t>
            </w:r>
            <w:proofErr w:type="spellEnd"/>
            <w:r>
              <w:t xml:space="preserve"> условий</w:t>
            </w: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4. Количество зафиксированных случаев травматизма слушателей во время образовательного процесса</w:t>
            </w:r>
          </w:p>
        </w:tc>
      </w:tr>
      <w:tr w:rsidR="00206836">
        <w:trPr>
          <w:trHeight w:val="238"/>
        </w:trPr>
        <w:tc>
          <w:tcPr>
            <w:tcW w:w="16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3. Социально-экономическая деятельность</w:t>
            </w: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5. Объем экспорта услуг в сфере образования (тыс. долларов США)</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6. Доля доходов, полученных от внебюджетной деятельности (в процентах от общего объема финансирования учреждения образования без учета капитальных вложений)</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7. Объем привлеченных финансовых средств на финансирование научной, научно-технической и инновационной деятельности (тыс. рублей)</w:t>
            </w:r>
          </w:p>
        </w:tc>
      </w:tr>
      <w:tr w:rsidR="00206836">
        <w:trPr>
          <w:trHeight w:val="238"/>
        </w:trPr>
        <w:tc>
          <w:tcPr>
            <w:tcW w:w="160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 xml:space="preserve">4. Состояние материально-технической базы </w:t>
            </w: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8. Доля учебных дисциплин, учебных программ повышения квалификации, обеспеченных электронными средствами обучения (в процентах от общего количества учебных дисциплин)</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9. Объем внебюджетных средств, затраченных на обновление и развитие материально-технической базы (в процентах от общего объема расходов по внебюджетной деятельности)</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10. Доля компьютеров, подключенных по широкополосному доступу к глобальной компьютерной сети Интернет (в процентах от общего количества компьютеров)</w:t>
            </w:r>
          </w:p>
        </w:tc>
      </w:tr>
      <w:tr w:rsidR="00206836">
        <w:trPr>
          <w:trHeight w:val="238"/>
        </w:trPr>
        <w:tc>
          <w:tcPr>
            <w:tcW w:w="0" w:type="auto"/>
            <w:vMerge/>
            <w:tcBorders>
              <w:top w:val="single" w:sz="4" w:space="0" w:color="auto"/>
              <w:bottom w:val="single" w:sz="4" w:space="0" w:color="auto"/>
              <w:right w:val="single" w:sz="4" w:space="0" w:color="auto"/>
            </w:tcBorders>
            <w:vAlign w:val="center"/>
            <w:hideMark/>
          </w:tcPr>
          <w:p w:rsidR="00206836" w:rsidRDefault="00206836">
            <w:pPr>
              <w:rPr>
                <w:rFonts w:eastAsiaTheme="minorEastAsia"/>
                <w:sz w:val="20"/>
                <w:szCs w:val="20"/>
              </w:rPr>
            </w:pPr>
          </w:p>
        </w:tc>
        <w:tc>
          <w:tcPr>
            <w:tcW w:w="3391"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11. Выполнение доведенных показателей по энергосбережению</w:t>
            </w:r>
          </w:p>
        </w:tc>
      </w:tr>
    </w:tbl>
    <w:p w:rsidR="00206836" w:rsidRDefault="00206836">
      <w:pPr>
        <w:pStyle w:val="newncpi"/>
      </w:pPr>
      <w:r>
        <w:t> </w:t>
      </w:r>
    </w:p>
    <w:p w:rsidR="00206836" w:rsidRDefault="00206836">
      <w:pPr>
        <w:pStyle w:val="snoskiline"/>
      </w:pPr>
      <w:r>
        <w:t>______________________________</w:t>
      </w:r>
    </w:p>
    <w:p w:rsidR="00206836" w:rsidRDefault="00206836">
      <w:pPr>
        <w:pStyle w:val="snoski"/>
        <w:spacing w:after="240"/>
      </w:pPr>
      <w:r>
        <w:t>* Показатели территориальными органами государственной статистики не согласовываются, кроме показателя «Объем экспорта услуг в сфере образования (тыс. долларов США)».</w:t>
      </w:r>
    </w:p>
    <w:p w:rsidR="00206836" w:rsidRDefault="00206836">
      <w:pPr>
        <w:pStyle w:val="newncpi"/>
      </w:pPr>
      <w:r>
        <w:t> </w:t>
      </w:r>
    </w:p>
    <w:p w:rsidR="00206836" w:rsidRDefault="00206836">
      <w:pPr>
        <w:rPr>
          <w:rFonts w:eastAsia="Times New Roman"/>
        </w:rPr>
        <w:sectPr w:rsidR="00206836" w:rsidSect="007F4F0C">
          <w:headerReference w:type="even" r:id="rId7"/>
          <w:headerReference w:type="default" r:id="rId8"/>
          <w:pgSz w:w="11906" w:h="16840"/>
          <w:pgMar w:top="1134" w:right="567" w:bottom="851" w:left="1400" w:header="278" w:footer="180" w:gutter="0"/>
          <w:cols w:space="708"/>
          <w:titlePg/>
          <w:docGrid w:linePitch="360"/>
        </w:sectPr>
      </w:pPr>
    </w:p>
    <w:p w:rsidR="00206836" w:rsidRDefault="0020683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80"/>
        <w:gridCol w:w="3768"/>
      </w:tblGrid>
      <w:tr w:rsidR="00206836">
        <w:tc>
          <w:tcPr>
            <w:tcW w:w="3106" w:type="pct"/>
            <w:tcMar>
              <w:top w:w="0" w:type="dxa"/>
              <w:left w:w="6" w:type="dxa"/>
              <w:bottom w:w="0" w:type="dxa"/>
              <w:right w:w="6" w:type="dxa"/>
            </w:tcMar>
            <w:hideMark/>
          </w:tcPr>
          <w:p w:rsidR="00206836" w:rsidRDefault="00206836">
            <w:pPr>
              <w:pStyle w:val="newncpi"/>
            </w:pPr>
            <w:r>
              <w:t> </w:t>
            </w:r>
          </w:p>
        </w:tc>
        <w:tc>
          <w:tcPr>
            <w:tcW w:w="1894" w:type="pct"/>
            <w:tcMar>
              <w:top w:w="0" w:type="dxa"/>
              <w:left w:w="6" w:type="dxa"/>
              <w:bottom w:w="0" w:type="dxa"/>
              <w:right w:w="6" w:type="dxa"/>
            </w:tcMar>
            <w:hideMark/>
          </w:tcPr>
          <w:p w:rsidR="00206836" w:rsidRDefault="00206836">
            <w:pPr>
              <w:pStyle w:val="append1"/>
            </w:pPr>
            <w:r>
              <w:t>Приложение 2</w:t>
            </w:r>
          </w:p>
          <w:p w:rsidR="00206836" w:rsidRDefault="00206836">
            <w:pPr>
              <w:pStyle w:val="append"/>
            </w:pPr>
            <w:r>
              <w:t>к Инструкции о порядке отбора</w:t>
            </w:r>
            <w:r>
              <w:br/>
              <w:t>претендентов на занесение</w:t>
            </w:r>
            <w:r>
              <w:br/>
              <w:t xml:space="preserve">на Республиканскую доску Почета </w:t>
            </w:r>
          </w:p>
        </w:tc>
      </w:tr>
    </w:tbl>
    <w:p w:rsidR="00206836" w:rsidRDefault="00206836">
      <w:pPr>
        <w:pStyle w:val="begform"/>
      </w:pPr>
      <w:r>
        <w:t> </w:t>
      </w:r>
    </w:p>
    <w:p w:rsidR="00206836" w:rsidRDefault="00206836">
      <w:pPr>
        <w:pStyle w:val="onestring"/>
      </w:pPr>
      <w:r>
        <w:t>Форма</w:t>
      </w:r>
    </w:p>
    <w:p w:rsidR="00206836" w:rsidRDefault="00206836">
      <w:pPr>
        <w:pStyle w:val="titlep"/>
      </w:pPr>
      <w:r>
        <w:t>Заявка</w:t>
      </w:r>
      <w:r>
        <w:br/>
        <w:t>на участие в конкурсном отборе среди учреждений образования на занесение на Республиканскую доску Почета</w:t>
      </w:r>
    </w:p>
    <w:p w:rsidR="00206836" w:rsidRDefault="00206836">
      <w:pPr>
        <w:pStyle w:val="newncpi0"/>
      </w:pPr>
      <w:r>
        <w:t>1. Полное наименование учреждения образования:</w:t>
      </w:r>
    </w:p>
    <w:p w:rsidR="00206836" w:rsidRDefault="00206836">
      <w:pPr>
        <w:pStyle w:val="newncpi0"/>
      </w:pPr>
      <w:r>
        <w:t>____________________________________________________________________________</w:t>
      </w:r>
    </w:p>
    <w:p w:rsidR="00206836" w:rsidRDefault="00206836">
      <w:pPr>
        <w:pStyle w:val="undline"/>
        <w:jc w:val="center"/>
      </w:pPr>
      <w:r>
        <w:t>(на русском языке в соответствии с Уставом)</w:t>
      </w:r>
    </w:p>
    <w:p w:rsidR="00206836" w:rsidRDefault="00206836">
      <w:pPr>
        <w:pStyle w:val="newncpi0"/>
      </w:pPr>
      <w:r>
        <w:t>2. Местонахождение учреждения образования _____________________________________</w:t>
      </w:r>
    </w:p>
    <w:p w:rsidR="00206836" w:rsidRDefault="00206836">
      <w:pPr>
        <w:pStyle w:val="newncpi0"/>
      </w:pPr>
      <w:r>
        <w:t>телефон _______________________, e-</w:t>
      </w:r>
      <w:proofErr w:type="spellStart"/>
      <w:r>
        <w:t>mail</w:t>
      </w:r>
      <w:proofErr w:type="spellEnd"/>
      <w:r>
        <w:t xml:space="preserve"> ________________________________________</w:t>
      </w:r>
    </w:p>
    <w:p w:rsidR="00206836" w:rsidRDefault="00206836">
      <w:pPr>
        <w:pStyle w:val="newncpi0"/>
      </w:pPr>
      <w:r>
        <w:t>3. Место и дата государственной регистрации _____________________________________</w:t>
      </w:r>
    </w:p>
    <w:p w:rsidR="00206836" w:rsidRDefault="00206836">
      <w:pPr>
        <w:pStyle w:val="undline"/>
        <w:ind w:left="5245"/>
      </w:pPr>
      <w:r>
        <w:t>(наименование регистрирующего органа,</w:t>
      </w:r>
    </w:p>
    <w:p w:rsidR="00206836" w:rsidRDefault="00206836">
      <w:pPr>
        <w:pStyle w:val="newncpi0"/>
      </w:pPr>
      <w:r>
        <w:t>____________________________________________________________________________</w:t>
      </w:r>
    </w:p>
    <w:p w:rsidR="00206836" w:rsidRDefault="00206836">
      <w:pPr>
        <w:pStyle w:val="undline"/>
        <w:jc w:val="center"/>
      </w:pPr>
      <w:r>
        <w:t>дата государственной регистрации, номер в Едином государственном регистре</w:t>
      </w:r>
    </w:p>
    <w:p w:rsidR="00206836" w:rsidRDefault="00206836">
      <w:pPr>
        <w:pStyle w:val="newncpi0"/>
      </w:pPr>
      <w:r>
        <w:t>____________________________________________________________________________</w:t>
      </w:r>
    </w:p>
    <w:p w:rsidR="00206836" w:rsidRDefault="00206836">
      <w:pPr>
        <w:pStyle w:val="undline"/>
        <w:jc w:val="center"/>
      </w:pPr>
      <w:r>
        <w:t>юридических лиц и индивидуальных предпринимателей)</w:t>
      </w:r>
    </w:p>
    <w:p w:rsidR="00206836" w:rsidRDefault="00206836">
      <w:pPr>
        <w:pStyle w:val="newncpi0"/>
      </w:pPr>
      <w:r>
        <w:t>4. Учредитель учреждения образования ___________________________________________</w:t>
      </w:r>
    </w:p>
    <w:p w:rsidR="00206836" w:rsidRDefault="00206836">
      <w:pPr>
        <w:pStyle w:val="newncpi0"/>
      </w:pPr>
      <w:r>
        <w:t>5. Руководитель учреждения образования _________________________________________</w:t>
      </w:r>
    </w:p>
    <w:p w:rsidR="00206836" w:rsidRDefault="00206836">
      <w:pPr>
        <w:pStyle w:val="undline"/>
        <w:ind w:left="5103"/>
      </w:pPr>
      <w:r>
        <w:t xml:space="preserve">(должность, фамилия, собственное имя, </w:t>
      </w:r>
    </w:p>
    <w:p w:rsidR="00206836" w:rsidRDefault="00206836">
      <w:pPr>
        <w:pStyle w:val="newncpi0"/>
      </w:pPr>
      <w:r>
        <w:t>____________________________________________________________________________</w:t>
      </w:r>
    </w:p>
    <w:p w:rsidR="00206836" w:rsidRDefault="00206836">
      <w:pPr>
        <w:pStyle w:val="undline"/>
        <w:jc w:val="center"/>
      </w:pPr>
      <w:r>
        <w:t>отчество (если таковое имеется)</w:t>
      </w:r>
    </w:p>
    <w:p w:rsidR="00206836" w:rsidRDefault="00206836">
      <w:pPr>
        <w:pStyle w:val="newncpi0"/>
      </w:pPr>
      <w:r>
        <w:t>6. Основной вид деятельности ___________________________________________________</w:t>
      </w:r>
    </w:p>
    <w:p w:rsidR="00206836" w:rsidRDefault="00206836">
      <w:pPr>
        <w:pStyle w:val="undline"/>
        <w:ind w:left="4111"/>
      </w:pPr>
      <w:r>
        <w:t>(код общегосударственного классификатора</w:t>
      </w:r>
    </w:p>
    <w:p w:rsidR="00206836" w:rsidRDefault="00206836">
      <w:pPr>
        <w:pStyle w:val="newncpi0"/>
      </w:pPr>
      <w:r>
        <w:t>____________________________________________________________________________</w:t>
      </w:r>
    </w:p>
    <w:p w:rsidR="00206836" w:rsidRDefault="00206836">
      <w:pPr>
        <w:pStyle w:val="undline"/>
        <w:jc w:val="center"/>
      </w:pPr>
      <w:r>
        <w:t>Республики Беларусь ОКРБ 005-2011 «Виды экономической деятельности», утвержденного</w:t>
      </w:r>
    </w:p>
    <w:p w:rsidR="00206836" w:rsidRDefault="00206836">
      <w:pPr>
        <w:pStyle w:val="newncpi0"/>
      </w:pPr>
      <w:r>
        <w:t>____________________________________________________________________________</w:t>
      </w:r>
    </w:p>
    <w:p w:rsidR="00206836" w:rsidRDefault="00206836">
      <w:pPr>
        <w:pStyle w:val="undline"/>
        <w:jc w:val="center"/>
      </w:pPr>
      <w:r>
        <w:t>постановлением Государственного комитета по стандартизации Республики Беларусь</w:t>
      </w:r>
    </w:p>
    <w:p w:rsidR="00206836" w:rsidRDefault="00206836">
      <w:pPr>
        <w:pStyle w:val="newncpi0"/>
      </w:pPr>
      <w:r>
        <w:t>____________________________________________________________________________</w:t>
      </w:r>
    </w:p>
    <w:p w:rsidR="00206836" w:rsidRDefault="00206836">
      <w:pPr>
        <w:pStyle w:val="undline"/>
        <w:jc w:val="center"/>
      </w:pPr>
      <w:r>
        <w:t>от 5 декабря 2011 г. № 85, наименование вида экономической деятельности)</w:t>
      </w:r>
    </w:p>
    <w:p w:rsidR="00206836" w:rsidRDefault="00206836">
      <w:pPr>
        <w:pStyle w:val="newncpi0"/>
      </w:pPr>
      <w:r>
        <w:t>7. Являлось ли победителем Республиканской доски Почета в предыдущие годы: да __________, нет _________, в каком году _______________________________________</w:t>
      </w:r>
    </w:p>
    <w:p w:rsidR="00206836" w:rsidRDefault="00206836">
      <w:pPr>
        <w:pStyle w:val="newncpi"/>
      </w:pPr>
      <w:r>
        <w:t> </w:t>
      </w:r>
    </w:p>
    <w:tbl>
      <w:tblPr>
        <w:tblW w:w="5000" w:type="pct"/>
        <w:tblCellMar>
          <w:left w:w="0" w:type="dxa"/>
          <w:right w:w="0" w:type="dxa"/>
        </w:tblCellMar>
        <w:tblLook w:val="04A0" w:firstRow="1" w:lastRow="0" w:firstColumn="1" w:lastColumn="0" w:noHBand="0" w:noVBand="1"/>
      </w:tblPr>
      <w:tblGrid>
        <w:gridCol w:w="2949"/>
        <w:gridCol w:w="3000"/>
        <w:gridCol w:w="3999"/>
      </w:tblGrid>
      <w:tr w:rsidR="00206836">
        <w:trPr>
          <w:trHeight w:val="240"/>
        </w:trPr>
        <w:tc>
          <w:tcPr>
            <w:tcW w:w="1482" w:type="pct"/>
            <w:tcMar>
              <w:top w:w="0" w:type="dxa"/>
              <w:left w:w="6" w:type="dxa"/>
              <w:bottom w:w="0" w:type="dxa"/>
              <w:right w:w="6" w:type="dxa"/>
            </w:tcMar>
            <w:hideMark/>
          </w:tcPr>
          <w:p w:rsidR="00206836" w:rsidRDefault="00206836">
            <w:pPr>
              <w:pStyle w:val="newncpi0"/>
            </w:pPr>
            <w:r>
              <w:t xml:space="preserve">Руководитель </w:t>
            </w:r>
          </w:p>
        </w:tc>
        <w:tc>
          <w:tcPr>
            <w:tcW w:w="1508" w:type="pct"/>
            <w:tcMar>
              <w:top w:w="0" w:type="dxa"/>
              <w:left w:w="6" w:type="dxa"/>
              <w:bottom w:w="0" w:type="dxa"/>
              <w:right w:w="6" w:type="dxa"/>
            </w:tcMar>
            <w:hideMark/>
          </w:tcPr>
          <w:p w:rsidR="00206836" w:rsidRDefault="00206836">
            <w:pPr>
              <w:pStyle w:val="newncpi0"/>
              <w:jc w:val="center"/>
            </w:pPr>
            <w:r>
              <w:t>_______________</w:t>
            </w:r>
          </w:p>
        </w:tc>
        <w:tc>
          <w:tcPr>
            <w:tcW w:w="2010" w:type="pct"/>
            <w:tcMar>
              <w:top w:w="0" w:type="dxa"/>
              <w:left w:w="6" w:type="dxa"/>
              <w:bottom w:w="0" w:type="dxa"/>
              <w:right w:w="6" w:type="dxa"/>
            </w:tcMar>
            <w:hideMark/>
          </w:tcPr>
          <w:p w:rsidR="00206836" w:rsidRDefault="00206836">
            <w:pPr>
              <w:pStyle w:val="newncpi0"/>
              <w:jc w:val="right"/>
            </w:pPr>
            <w:r>
              <w:t>________________________</w:t>
            </w:r>
          </w:p>
        </w:tc>
      </w:tr>
      <w:tr w:rsidR="00206836">
        <w:trPr>
          <w:trHeight w:val="240"/>
        </w:trPr>
        <w:tc>
          <w:tcPr>
            <w:tcW w:w="1482" w:type="pct"/>
            <w:tcMar>
              <w:top w:w="0" w:type="dxa"/>
              <w:left w:w="6" w:type="dxa"/>
              <w:bottom w:w="0" w:type="dxa"/>
              <w:right w:w="6" w:type="dxa"/>
            </w:tcMar>
            <w:hideMark/>
          </w:tcPr>
          <w:p w:rsidR="00206836" w:rsidRDefault="00206836">
            <w:pPr>
              <w:pStyle w:val="table10"/>
            </w:pPr>
            <w:r>
              <w:t> </w:t>
            </w:r>
          </w:p>
        </w:tc>
        <w:tc>
          <w:tcPr>
            <w:tcW w:w="1508" w:type="pct"/>
            <w:tcMar>
              <w:top w:w="0" w:type="dxa"/>
              <w:left w:w="6" w:type="dxa"/>
              <w:bottom w:w="0" w:type="dxa"/>
              <w:right w:w="6" w:type="dxa"/>
            </w:tcMar>
            <w:hideMark/>
          </w:tcPr>
          <w:p w:rsidR="00206836" w:rsidRDefault="00206836">
            <w:pPr>
              <w:pStyle w:val="undline"/>
              <w:jc w:val="center"/>
            </w:pPr>
            <w:r>
              <w:t>(подпись)</w:t>
            </w:r>
          </w:p>
        </w:tc>
        <w:tc>
          <w:tcPr>
            <w:tcW w:w="2010" w:type="pct"/>
            <w:tcMar>
              <w:top w:w="0" w:type="dxa"/>
              <w:left w:w="6" w:type="dxa"/>
              <w:bottom w:w="0" w:type="dxa"/>
              <w:right w:w="6" w:type="dxa"/>
            </w:tcMar>
            <w:hideMark/>
          </w:tcPr>
          <w:p w:rsidR="00206836" w:rsidRDefault="00206836">
            <w:pPr>
              <w:pStyle w:val="undline"/>
              <w:ind w:right="418"/>
              <w:jc w:val="right"/>
            </w:pPr>
            <w:r>
              <w:t>(расшифровка подписи)</w:t>
            </w:r>
          </w:p>
        </w:tc>
      </w:tr>
    </w:tbl>
    <w:p w:rsidR="00206836" w:rsidRDefault="00206836">
      <w:pPr>
        <w:pStyle w:val="endform"/>
      </w:pPr>
      <w:r>
        <w:t> </w:t>
      </w:r>
    </w:p>
    <w:p w:rsidR="00206836" w:rsidRDefault="00206836">
      <w:pPr>
        <w:pStyle w:val="newncpi"/>
      </w:pPr>
      <w:r>
        <w:t> </w:t>
      </w:r>
    </w:p>
    <w:p w:rsidR="00206836" w:rsidRDefault="00206836">
      <w:r>
        <w:br w:type="page"/>
      </w:r>
    </w:p>
    <w:tbl>
      <w:tblPr>
        <w:tblW w:w="5000" w:type="pct"/>
        <w:tblCellMar>
          <w:left w:w="0" w:type="dxa"/>
          <w:right w:w="0" w:type="dxa"/>
        </w:tblCellMar>
        <w:tblLook w:val="04A0" w:firstRow="1" w:lastRow="0" w:firstColumn="1" w:lastColumn="0" w:noHBand="0" w:noVBand="1"/>
      </w:tblPr>
      <w:tblGrid>
        <w:gridCol w:w="6180"/>
        <w:gridCol w:w="3768"/>
      </w:tblGrid>
      <w:tr w:rsidR="00206836">
        <w:tc>
          <w:tcPr>
            <w:tcW w:w="3106" w:type="pct"/>
            <w:tcMar>
              <w:top w:w="0" w:type="dxa"/>
              <w:left w:w="6" w:type="dxa"/>
              <w:bottom w:w="0" w:type="dxa"/>
              <w:right w:w="6" w:type="dxa"/>
            </w:tcMar>
            <w:hideMark/>
          </w:tcPr>
          <w:p w:rsidR="00206836" w:rsidRDefault="00206836">
            <w:pPr>
              <w:pStyle w:val="newncpi"/>
            </w:pPr>
            <w:r>
              <w:lastRenderedPageBreak/>
              <w:t> </w:t>
            </w:r>
          </w:p>
        </w:tc>
        <w:tc>
          <w:tcPr>
            <w:tcW w:w="1894" w:type="pct"/>
            <w:tcMar>
              <w:top w:w="0" w:type="dxa"/>
              <w:left w:w="6" w:type="dxa"/>
              <w:bottom w:w="0" w:type="dxa"/>
              <w:right w:w="6" w:type="dxa"/>
            </w:tcMar>
            <w:hideMark/>
          </w:tcPr>
          <w:p w:rsidR="00206836" w:rsidRDefault="00206836">
            <w:pPr>
              <w:pStyle w:val="append1"/>
            </w:pPr>
            <w:r>
              <w:t>Приложение 3</w:t>
            </w:r>
          </w:p>
          <w:p w:rsidR="00206836" w:rsidRDefault="00206836">
            <w:pPr>
              <w:pStyle w:val="append"/>
            </w:pPr>
            <w:r>
              <w:t>к Инструкции о порядке отбора</w:t>
            </w:r>
            <w:r>
              <w:br/>
              <w:t>претендентов на занесение</w:t>
            </w:r>
            <w:r>
              <w:br/>
              <w:t xml:space="preserve">на Республиканскую доску Почета </w:t>
            </w:r>
          </w:p>
        </w:tc>
      </w:tr>
    </w:tbl>
    <w:p w:rsidR="00206836" w:rsidRDefault="00206836">
      <w:pPr>
        <w:pStyle w:val="begform"/>
      </w:pPr>
      <w:r>
        <w:t> </w:t>
      </w:r>
    </w:p>
    <w:p w:rsidR="00206836" w:rsidRDefault="00206836">
      <w:pPr>
        <w:pStyle w:val="onestring"/>
      </w:pPr>
      <w:r>
        <w:t>Форма</w:t>
      </w:r>
    </w:p>
    <w:p w:rsidR="00206836" w:rsidRDefault="00206836">
      <w:pPr>
        <w:pStyle w:val="titlep"/>
        <w:spacing w:after="0"/>
      </w:pPr>
      <w:r>
        <w:t>Справка</w:t>
      </w:r>
      <w:r>
        <w:br/>
        <w:t>о выполнении лучшими кандидатурами обязательных условий для занесения на Республиканскую доску Почета, критериев и показателей оценки работы</w:t>
      </w:r>
    </w:p>
    <w:p w:rsidR="00206836" w:rsidRDefault="00206836">
      <w:pPr>
        <w:pStyle w:val="newncpi0"/>
        <w:jc w:val="center"/>
      </w:pPr>
      <w:r>
        <w:rPr>
          <w:b/>
          <w:bCs/>
        </w:rPr>
        <w:t>за</w:t>
      </w:r>
      <w:r>
        <w:t xml:space="preserve"> _____________</w:t>
      </w:r>
    </w:p>
    <w:p w:rsidR="00206836" w:rsidRDefault="00206836">
      <w:pPr>
        <w:pStyle w:val="undline"/>
        <w:ind w:left="4186"/>
      </w:pPr>
      <w:r>
        <w:t>(отчетный год)</w:t>
      </w:r>
    </w:p>
    <w:p w:rsidR="00206836" w:rsidRDefault="00206836">
      <w:pPr>
        <w:pStyle w:val="newncpi0"/>
        <w:jc w:val="center"/>
      </w:pPr>
      <w:r>
        <w:t>_________________________________________________________________</w:t>
      </w:r>
    </w:p>
    <w:p w:rsidR="00206836" w:rsidRDefault="00206836">
      <w:pPr>
        <w:pStyle w:val="undline"/>
        <w:jc w:val="center"/>
      </w:pPr>
      <w:r>
        <w:t>(наименование учреждения образования)</w:t>
      </w:r>
    </w:p>
    <w:p w:rsidR="00206836" w:rsidRDefault="0020683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75"/>
        <w:gridCol w:w="3173"/>
      </w:tblGrid>
      <w:tr w:rsidR="00206836">
        <w:trPr>
          <w:trHeight w:val="238"/>
        </w:trPr>
        <w:tc>
          <w:tcPr>
            <w:tcW w:w="3405" w:type="pct"/>
            <w:tcBorders>
              <w:bottom w:val="single" w:sz="4" w:space="0" w:color="auto"/>
              <w:right w:val="single" w:sz="4" w:space="0" w:color="auto"/>
            </w:tcBorders>
            <w:tcMar>
              <w:top w:w="0" w:type="dxa"/>
              <w:left w:w="6" w:type="dxa"/>
              <w:bottom w:w="0" w:type="dxa"/>
              <w:right w:w="6" w:type="dxa"/>
            </w:tcMar>
            <w:vAlign w:val="center"/>
            <w:hideMark/>
          </w:tcPr>
          <w:p w:rsidR="00206836" w:rsidRDefault="00206836">
            <w:pPr>
              <w:pStyle w:val="table10"/>
              <w:jc w:val="center"/>
            </w:pPr>
            <w:r>
              <w:t>Наименование показателя (критерия)</w:t>
            </w:r>
          </w:p>
        </w:tc>
        <w:tc>
          <w:tcPr>
            <w:tcW w:w="1595" w:type="pct"/>
            <w:tcBorders>
              <w:left w:val="single" w:sz="4" w:space="0" w:color="auto"/>
              <w:bottom w:val="single" w:sz="4" w:space="0" w:color="auto"/>
            </w:tcBorders>
            <w:tcMar>
              <w:top w:w="0" w:type="dxa"/>
              <w:left w:w="6" w:type="dxa"/>
              <w:bottom w:w="0" w:type="dxa"/>
              <w:right w:w="6" w:type="dxa"/>
            </w:tcMar>
            <w:vAlign w:val="center"/>
            <w:hideMark/>
          </w:tcPr>
          <w:p w:rsidR="00206836" w:rsidRDefault="00206836">
            <w:pPr>
              <w:pStyle w:val="table10"/>
              <w:jc w:val="center"/>
            </w:pPr>
            <w:r>
              <w:t>Значение</w:t>
            </w:r>
          </w:p>
        </w:tc>
      </w:tr>
      <w:tr w:rsidR="00206836">
        <w:trPr>
          <w:trHeight w:val="238"/>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1. Выполнение обязательных условий</w:t>
            </w:r>
            <w:r>
              <w:br/>
              <w:t>(подпункт 12.2 пункта 12 Положения о Республиканской доске Почета)</w:t>
            </w:r>
          </w:p>
        </w:tc>
        <w:tc>
          <w:tcPr>
            <w:tcW w:w="1595"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w:t>
            </w:r>
          </w:p>
        </w:tc>
      </w:tr>
      <w:tr w:rsidR="00206836">
        <w:trPr>
          <w:trHeight w:val="238"/>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w:t>
            </w:r>
          </w:p>
        </w:tc>
        <w:tc>
          <w:tcPr>
            <w:tcW w:w="1595"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w:t>
            </w:r>
          </w:p>
        </w:tc>
      </w:tr>
      <w:tr w:rsidR="00206836">
        <w:trPr>
          <w:trHeight w:val="238"/>
        </w:trPr>
        <w:tc>
          <w:tcPr>
            <w:tcW w:w="3405" w:type="pct"/>
            <w:tcBorders>
              <w:top w:val="single" w:sz="4" w:space="0" w:color="auto"/>
              <w:bottom w:val="single" w:sz="4" w:space="0" w:color="auto"/>
              <w:right w:val="single" w:sz="4" w:space="0" w:color="auto"/>
            </w:tcBorders>
            <w:tcMar>
              <w:top w:w="0" w:type="dxa"/>
              <w:left w:w="6" w:type="dxa"/>
              <w:bottom w:w="0" w:type="dxa"/>
              <w:right w:w="6" w:type="dxa"/>
            </w:tcMar>
            <w:hideMark/>
          </w:tcPr>
          <w:p w:rsidR="00206836" w:rsidRDefault="00206836">
            <w:pPr>
              <w:pStyle w:val="table10"/>
            </w:pPr>
            <w:r>
              <w:t>2. Выполнение критериев и показателей</w:t>
            </w:r>
            <w:r>
              <w:br/>
              <w:t>(в соответствии с приложением 1)</w:t>
            </w:r>
          </w:p>
        </w:tc>
        <w:tc>
          <w:tcPr>
            <w:tcW w:w="1595" w:type="pct"/>
            <w:tcBorders>
              <w:top w:val="single" w:sz="4" w:space="0" w:color="auto"/>
              <w:left w:val="single" w:sz="4" w:space="0" w:color="auto"/>
              <w:bottom w:val="single" w:sz="4" w:space="0" w:color="auto"/>
            </w:tcBorders>
            <w:tcMar>
              <w:top w:w="0" w:type="dxa"/>
              <w:left w:w="6" w:type="dxa"/>
              <w:bottom w:w="0" w:type="dxa"/>
              <w:right w:w="6" w:type="dxa"/>
            </w:tcMar>
            <w:hideMark/>
          </w:tcPr>
          <w:p w:rsidR="00206836" w:rsidRDefault="00206836">
            <w:pPr>
              <w:pStyle w:val="table10"/>
            </w:pPr>
            <w:r>
              <w:t> </w:t>
            </w:r>
          </w:p>
        </w:tc>
      </w:tr>
      <w:tr w:rsidR="00206836">
        <w:trPr>
          <w:trHeight w:val="238"/>
        </w:trPr>
        <w:tc>
          <w:tcPr>
            <w:tcW w:w="3405" w:type="pct"/>
            <w:tcBorders>
              <w:top w:val="single" w:sz="4" w:space="0" w:color="auto"/>
              <w:right w:val="single" w:sz="4" w:space="0" w:color="auto"/>
            </w:tcBorders>
            <w:tcMar>
              <w:top w:w="0" w:type="dxa"/>
              <w:left w:w="6" w:type="dxa"/>
              <w:bottom w:w="0" w:type="dxa"/>
              <w:right w:w="6" w:type="dxa"/>
            </w:tcMar>
            <w:hideMark/>
          </w:tcPr>
          <w:p w:rsidR="00206836" w:rsidRDefault="00206836">
            <w:pPr>
              <w:pStyle w:val="table10"/>
            </w:pPr>
            <w:r>
              <w:t>….</w:t>
            </w:r>
          </w:p>
        </w:tc>
        <w:tc>
          <w:tcPr>
            <w:tcW w:w="1595" w:type="pct"/>
            <w:tcBorders>
              <w:top w:val="single" w:sz="4" w:space="0" w:color="auto"/>
              <w:left w:val="single" w:sz="4" w:space="0" w:color="auto"/>
            </w:tcBorders>
            <w:tcMar>
              <w:top w:w="0" w:type="dxa"/>
              <w:left w:w="6" w:type="dxa"/>
              <w:bottom w:w="0" w:type="dxa"/>
              <w:right w:w="6" w:type="dxa"/>
            </w:tcMar>
            <w:hideMark/>
          </w:tcPr>
          <w:p w:rsidR="00206836" w:rsidRDefault="00206836">
            <w:pPr>
              <w:pStyle w:val="table10"/>
            </w:pPr>
            <w:r>
              <w:t> </w:t>
            </w:r>
          </w:p>
        </w:tc>
      </w:tr>
    </w:tbl>
    <w:p w:rsidR="00206836" w:rsidRDefault="00206836">
      <w:pPr>
        <w:pStyle w:val="newncpi"/>
      </w:pPr>
      <w:r>
        <w:t> </w:t>
      </w:r>
    </w:p>
    <w:p w:rsidR="00206836" w:rsidRDefault="00206836">
      <w:pPr>
        <w:pStyle w:val="newncpi"/>
      </w:pPr>
      <w:r>
        <w:t>Лучшая кандидатура представлена ____________________ облисполкомом, Минским горисполкомом (решение от _________ № ______).</w:t>
      </w:r>
    </w:p>
    <w:p w:rsidR="00206836" w:rsidRDefault="00206836">
      <w:pPr>
        <w:pStyle w:val="newncpi"/>
      </w:pPr>
      <w:r>
        <w:t> </w:t>
      </w:r>
    </w:p>
    <w:tbl>
      <w:tblPr>
        <w:tblW w:w="5000" w:type="pct"/>
        <w:tblCellMar>
          <w:left w:w="0" w:type="dxa"/>
          <w:right w:w="0" w:type="dxa"/>
        </w:tblCellMar>
        <w:tblLook w:val="04A0" w:firstRow="1" w:lastRow="0" w:firstColumn="1" w:lastColumn="0" w:noHBand="0" w:noVBand="1"/>
      </w:tblPr>
      <w:tblGrid>
        <w:gridCol w:w="2949"/>
        <w:gridCol w:w="3000"/>
        <w:gridCol w:w="3999"/>
      </w:tblGrid>
      <w:tr w:rsidR="00206836">
        <w:trPr>
          <w:trHeight w:val="240"/>
        </w:trPr>
        <w:tc>
          <w:tcPr>
            <w:tcW w:w="1482" w:type="pct"/>
            <w:tcMar>
              <w:top w:w="0" w:type="dxa"/>
              <w:left w:w="6" w:type="dxa"/>
              <w:bottom w:w="0" w:type="dxa"/>
              <w:right w:w="6" w:type="dxa"/>
            </w:tcMar>
            <w:hideMark/>
          </w:tcPr>
          <w:p w:rsidR="00206836" w:rsidRDefault="00206836">
            <w:pPr>
              <w:pStyle w:val="newncpi0"/>
            </w:pPr>
            <w:r>
              <w:t xml:space="preserve">Руководитель </w:t>
            </w:r>
          </w:p>
        </w:tc>
        <w:tc>
          <w:tcPr>
            <w:tcW w:w="1508" w:type="pct"/>
            <w:tcMar>
              <w:top w:w="0" w:type="dxa"/>
              <w:left w:w="6" w:type="dxa"/>
              <w:bottom w:w="0" w:type="dxa"/>
              <w:right w:w="6" w:type="dxa"/>
            </w:tcMar>
            <w:hideMark/>
          </w:tcPr>
          <w:p w:rsidR="00206836" w:rsidRDefault="00206836">
            <w:pPr>
              <w:pStyle w:val="newncpi0"/>
              <w:jc w:val="center"/>
            </w:pPr>
            <w:r>
              <w:t>_______________</w:t>
            </w:r>
          </w:p>
        </w:tc>
        <w:tc>
          <w:tcPr>
            <w:tcW w:w="2010" w:type="pct"/>
            <w:tcMar>
              <w:top w:w="0" w:type="dxa"/>
              <w:left w:w="6" w:type="dxa"/>
              <w:bottom w:w="0" w:type="dxa"/>
              <w:right w:w="6" w:type="dxa"/>
            </w:tcMar>
            <w:hideMark/>
          </w:tcPr>
          <w:p w:rsidR="00206836" w:rsidRDefault="00206836">
            <w:pPr>
              <w:pStyle w:val="newncpi0"/>
              <w:jc w:val="right"/>
            </w:pPr>
            <w:r>
              <w:t>________________________</w:t>
            </w:r>
          </w:p>
        </w:tc>
      </w:tr>
      <w:tr w:rsidR="00206836">
        <w:trPr>
          <w:trHeight w:val="240"/>
        </w:trPr>
        <w:tc>
          <w:tcPr>
            <w:tcW w:w="1482" w:type="pct"/>
            <w:tcMar>
              <w:top w:w="0" w:type="dxa"/>
              <w:left w:w="6" w:type="dxa"/>
              <w:bottom w:w="0" w:type="dxa"/>
              <w:right w:w="6" w:type="dxa"/>
            </w:tcMar>
            <w:hideMark/>
          </w:tcPr>
          <w:p w:rsidR="00206836" w:rsidRDefault="00206836">
            <w:pPr>
              <w:pStyle w:val="table10"/>
            </w:pPr>
            <w:r>
              <w:t> </w:t>
            </w:r>
          </w:p>
        </w:tc>
        <w:tc>
          <w:tcPr>
            <w:tcW w:w="1508" w:type="pct"/>
            <w:tcMar>
              <w:top w:w="0" w:type="dxa"/>
              <w:left w:w="6" w:type="dxa"/>
              <w:bottom w:w="0" w:type="dxa"/>
              <w:right w:w="6" w:type="dxa"/>
            </w:tcMar>
            <w:hideMark/>
          </w:tcPr>
          <w:p w:rsidR="00206836" w:rsidRDefault="00206836">
            <w:pPr>
              <w:pStyle w:val="undline"/>
              <w:jc w:val="center"/>
            </w:pPr>
            <w:r>
              <w:t>(подпись)</w:t>
            </w:r>
          </w:p>
        </w:tc>
        <w:tc>
          <w:tcPr>
            <w:tcW w:w="2010" w:type="pct"/>
            <w:tcMar>
              <w:top w:w="0" w:type="dxa"/>
              <w:left w:w="6" w:type="dxa"/>
              <w:bottom w:w="0" w:type="dxa"/>
              <w:right w:w="6" w:type="dxa"/>
            </w:tcMar>
            <w:hideMark/>
          </w:tcPr>
          <w:p w:rsidR="00206836" w:rsidRDefault="00206836">
            <w:pPr>
              <w:pStyle w:val="undline"/>
              <w:ind w:right="418"/>
              <w:jc w:val="right"/>
            </w:pPr>
            <w:r>
              <w:t>(расшифровка подписи)</w:t>
            </w:r>
          </w:p>
        </w:tc>
      </w:tr>
    </w:tbl>
    <w:p w:rsidR="00206836" w:rsidRDefault="00206836">
      <w:pPr>
        <w:pStyle w:val="endform"/>
      </w:pPr>
      <w:r>
        <w:t> </w:t>
      </w:r>
    </w:p>
    <w:p w:rsidR="00206836" w:rsidRDefault="00206836">
      <w:pPr>
        <w:pStyle w:val="newncpi"/>
      </w:pPr>
      <w:r>
        <w:t> </w:t>
      </w:r>
    </w:p>
    <w:p w:rsidR="00B3379B" w:rsidRDefault="00E13B11"/>
    <w:sectPr w:rsidR="00B3379B" w:rsidSect="007F4F0C">
      <w:pgSz w:w="11920" w:h="16840"/>
      <w:pgMar w:top="567" w:right="567" w:bottom="567" w:left="1417" w:header="2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11" w:rsidRDefault="00E13B11" w:rsidP="00206836">
      <w:pPr>
        <w:spacing w:after="0" w:line="240" w:lineRule="auto"/>
      </w:pPr>
      <w:r>
        <w:separator/>
      </w:r>
    </w:p>
  </w:endnote>
  <w:endnote w:type="continuationSeparator" w:id="0">
    <w:p w:rsidR="00E13B11" w:rsidRDefault="00E13B11" w:rsidP="0020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11" w:rsidRDefault="00E13B11" w:rsidP="00206836">
      <w:pPr>
        <w:spacing w:after="0" w:line="240" w:lineRule="auto"/>
      </w:pPr>
      <w:r>
        <w:separator/>
      </w:r>
    </w:p>
  </w:footnote>
  <w:footnote w:type="continuationSeparator" w:id="0">
    <w:p w:rsidR="00E13B11" w:rsidRDefault="00E13B11" w:rsidP="00206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36" w:rsidRDefault="00B95D8B" w:rsidP="005B3443">
    <w:pPr>
      <w:pStyle w:val="a3"/>
      <w:framePr w:wrap="around" w:vAnchor="text" w:hAnchor="margin" w:xAlign="center" w:y="1"/>
      <w:rPr>
        <w:rStyle w:val="a7"/>
      </w:rPr>
    </w:pPr>
    <w:r>
      <w:rPr>
        <w:rStyle w:val="a7"/>
      </w:rPr>
      <w:fldChar w:fldCharType="begin"/>
    </w:r>
    <w:r w:rsidR="00206836">
      <w:rPr>
        <w:rStyle w:val="a7"/>
      </w:rPr>
      <w:instrText xml:space="preserve">PAGE  </w:instrText>
    </w:r>
    <w:r>
      <w:rPr>
        <w:rStyle w:val="a7"/>
      </w:rPr>
      <w:fldChar w:fldCharType="end"/>
    </w:r>
  </w:p>
  <w:p w:rsidR="00206836" w:rsidRDefault="002068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36" w:rsidRPr="00206836" w:rsidRDefault="00B95D8B" w:rsidP="005B3443">
    <w:pPr>
      <w:pStyle w:val="a3"/>
      <w:framePr w:wrap="around" w:vAnchor="text" w:hAnchor="margin" w:xAlign="center" w:y="1"/>
      <w:rPr>
        <w:rStyle w:val="a7"/>
        <w:rFonts w:ascii="Times New Roman" w:hAnsi="Times New Roman" w:cs="Times New Roman"/>
        <w:sz w:val="24"/>
      </w:rPr>
    </w:pPr>
    <w:r w:rsidRPr="00206836">
      <w:rPr>
        <w:rStyle w:val="a7"/>
        <w:rFonts w:ascii="Times New Roman" w:hAnsi="Times New Roman" w:cs="Times New Roman"/>
        <w:sz w:val="24"/>
      </w:rPr>
      <w:fldChar w:fldCharType="begin"/>
    </w:r>
    <w:r w:rsidR="00206836" w:rsidRPr="00206836">
      <w:rPr>
        <w:rStyle w:val="a7"/>
        <w:rFonts w:ascii="Times New Roman" w:hAnsi="Times New Roman" w:cs="Times New Roman"/>
        <w:sz w:val="24"/>
      </w:rPr>
      <w:instrText xml:space="preserve">PAGE  </w:instrText>
    </w:r>
    <w:r w:rsidRPr="00206836">
      <w:rPr>
        <w:rStyle w:val="a7"/>
        <w:rFonts w:ascii="Times New Roman" w:hAnsi="Times New Roman" w:cs="Times New Roman"/>
        <w:sz w:val="24"/>
      </w:rPr>
      <w:fldChar w:fldCharType="separate"/>
    </w:r>
    <w:r w:rsidR="00C44ECD">
      <w:rPr>
        <w:rStyle w:val="a7"/>
        <w:rFonts w:ascii="Times New Roman" w:hAnsi="Times New Roman" w:cs="Times New Roman"/>
        <w:noProof/>
        <w:sz w:val="24"/>
      </w:rPr>
      <w:t>14</w:t>
    </w:r>
    <w:r w:rsidRPr="00206836">
      <w:rPr>
        <w:rStyle w:val="a7"/>
        <w:rFonts w:ascii="Times New Roman" w:hAnsi="Times New Roman" w:cs="Times New Roman"/>
        <w:sz w:val="24"/>
      </w:rPr>
      <w:fldChar w:fldCharType="end"/>
    </w:r>
  </w:p>
  <w:p w:rsidR="00206836" w:rsidRPr="00206836" w:rsidRDefault="00206836">
    <w:pPr>
      <w:pStyle w:val="a3"/>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27974"/>
    <w:multiLevelType w:val="multilevel"/>
    <w:tmpl w:val="45647C36"/>
    <w:styleLink w:val="1"/>
    <w:lvl w:ilvl="0">
      <w:start w:val="1"/>
      <w:numFmt w:val="decimal"/>
      <w:lvlText w:val="%1"/>
      <w:lvlJc w:val="left"/>
      <w:pPr>
        <w:ind w:left="227" w:hanging="227"/>
      </w:pPr>
      <w:rPr>
        <w:rFonts w:ascii="Times New Roman" w:hAnsi="Times New Roman" w:hint="default"/>
        <w:color w:val="auto"/>
      </w:rPr>
    </w:lvl>
    <w:lvl w:ilvl="1">
      <w:start w:val="1"/>
      <w:numFmt w:val="lowerLetter"/>
      <w:lvlText w:val="%2)"/>
      <w:lvlJc w:val="left"/>
      <w:pPr>
        <w:ind w:left="584" w:hanging="227"/>
      </w:pPr>
      <w:rPr>
        <w:rFonts w:hint="default"/>
      </w:rPr>
    </w:lvl>
    <w:lvl w:ilvl="2">
      <w:start w:val="1"/>
      <w:numFmt w:val="lowerRoman"/>
      <w:lvlText w:val="%3)"/>
      <w:lvlJc w:val="left"/>
      <w:pPr>
        <w:ind w:left="941" w:hanging="227"/>
      </w:pPr>
      <w:rPr>
        <w:rFonts w:hint="default"/>
      </w:rPr>
    </w:lvl>
    <w:lvl w:ilvl="3">
      <w:start w:val="1"/>
      <w:numFmt w:val="decimal"/>
      <w:lvlText w:val="(%4)"/>
      <w:lvlJc w:val="left"/>
      <w:pPr>
        <w:ind w:left="1298" w:hanging="227"/>
      </w:pPr>
      <w:rPr>
        <w:rFonts w:hint="default"/>
      </w:rPr>
    </w:lvl>
    <w:lvl w:ilvl="4">
      <w:start w:val="1"/>
      <w:numFmt w:val="lowerLetter"/>
      <w:lvlText w:val="(%5)"/>
      <w:lvlJc w:val="left"/>
      <w:pPr>
        <w:ind w:left="1655" w:hanging="227"/>
      </w:pPr>
      <w:rPr>
        <w:rFonts w:hint="default"/>
      </w:rPr>
    </w:lvl>
    <w:lvl w:ilvl="5">
      <w:start w:val="1"/>
      <w:numFmt w:val="lowerRoman"/>
      <w:lvlText w:val="(%6)"/>
      <w:lvlJc w:val="left"/>
      <w:pPr>
        <w:ind w:left="2012" w:hanging="227"/>
      </w:pPr>
      <w:rPr>
        <w:rFonts w:hint="default"/>
      </w:rPr>
    </w:lvl>
    <w:lvl w:ilvl="6">
      <w:start w:val="1"/>
      <w:numFmt w:val="decimal"/>
      <w:lvlText w:val="%7."/>
      <w:lvlJc w:val="left"/>
      <w:pPr>
        <w:ind w:left="2369" w:hanging="227"/>
      </w:pPr>
      <w:rPr>
        <w:rFonts w:hint="default"/>
      </w:rPr>
    </w:lvl>
    <w:lvl w:ilvl="7">
      <w:start w:val="1"/>
      <w:numFmt w:val="lowerLetter"/>
      <w:lvlText w:val="%8."/>
      <w:lvlJc w:val="left"/>
      <w:pPr>
        <w:ind w:left="2726" w:hanging="227"/>
      </w:pPr>
      <w:rPr>
        <w:rFonts w:hint="default"/>
      </w:rPr>
    </w:lvl>
    <w:lvl w:ilvl="8">
      <w:start w:val="1"/>
      <w:numFmt w:val="lowerRoman"/>
      <w:lvlText w:val="%9."/>
      <w:lvlJc w:val="left"/>
      <w:pPr>
        <w:ind w:left="308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36"/>
    <w:rsid w:val="001902A0"/>
    <w:rsid w:val="00206836"/>
    <w:rsid w:val="002C59C6"/>
    <w:rsid w:val="00376BA2"/>
    <w:rsid w:val="004E0755"/>
    <w:rsid w:val="00685563"/>
    <w:rsid w:val="007F4F0C"/>
    <w:rsid w:val="00A10B53"/>
    <w:rsid w:val="00B95D8B"/>
    <w:rsid w:val="00C44ECD"/>
    <w:rsid w:val="00E1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7762A8-14E6-4FFD-B92C-1D2D880B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685563"/>
    <w:pPr>
      <w:numPr>
        <w:numId w:val="1"/>
      </w:numPr>
    </w:pPr>
  </w:style>
  <w:style w:type="paragraph" w:customStyle="1" w:styleId="titlencpi">
    <w:name w:val="titlencpi"/>
    <w:basedOn w:val="a"/>
    <w:rsid w:val="002068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206836"/>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20683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0683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0683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068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068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0683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0683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0683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0683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0683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0683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0683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068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0683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0683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068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06836"/>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06836"/>
    <w:rPr>
      <w:rFonts w:ascii="Times New Roman" w:hAnsi="Times New Roman" w:cs="Times New Roman" w:hint="default"/>
      <w:caps/>
    </w:rPr>
  </w:style>
  <w:style w:type="character" w:customStyle="1" w:styleId="promulgator">
    <w:name w:val="promulgator"/>
    <w:basedOn w:val="a0"/>
    <w:rsid w:val="00206836"/>
    <w:rPr>
      <w:rFonts w:ascii="Times New Roman" w:hAnsi="Times New Roman" w:cs="Times New Roman" w:hint="default"/>
      <w:caps/>
    </w:rPr>
  </w:style>
  <w:style w:type="character" w:customStyle="1" w:styleId="datepr">
    <w:name w:val="datepr"/>
    <w:basedOn w:val="a0"/>
    <w:rsid w:val="00206836"/>
    <w:rPr>
      <w:rFonts w:ascii="Times New Roman" w:hAnsi="Times New Roman" w:cs="Times New Roman" w:hint="default"/>
    </w:rPr>
  </w:style>
  <w:style w:type="character" w:customStyle="1" w:styleId="number">
    <w:name w:val="number"/>
    <w:basedOn w:val="a0"/>
    <w:rsid w:val="00206836"/>
    <w:rPr>
      <w:rFonts w:ascii="Times New Roman" w:hAnsi="Times New Roman" w:cs="Times New Roman" w:hint="default"/>
    </w:rPr>
  </w:style>
  <w:style w:type="character" w:customStyle="1" w:styleId="post">
    <w:name w:val="post"/>
    <w:basedOn w:val="a0"/>
    <w:rsid w:val="00206836"/>
    <w:rPr>
      <w:rFonts w:ascii="Times New Roman" w:hAnsi="Times New Roman" w:cs="Times New Roman" w:hint="default"/>
      <w:b/>
      <w:bCs/>
      <w:sz w:val="22"/>
      <w:szCs w:val="22"/>
    </w:rPr>
  </w:style>
  <w:style w:type="character" w:customStyle="1" w:styleId="pers">
    <w:name w:val="pers"/>
    <w:basedOn w:val="a0"/>
    <w:rsid w:val="00206836"/>
    <w:rPr>
      <w:rFonts w:ascii="Times New Roman" w:hAnsi="Times New Roman" w:cs="Times New Roman" w:hint="default"/>
      <w:b/>
      <w:bCs/>
      <w:sz w:val="22"/>
      <w:szCs w:val="22"/>
    </w:rPr>
  </w:style>
  <w:style w:type="paragraph" w:styleId="a3">
    <w:name w:val="header"/>
    <w:basedOn w:val="a"/>
    <w:link w:val="a4"/>
    <w:uiPriority w:val="99"/>
    <w:unhideWhenUsed/>
    <w:rsid w:val="002068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6836"/>
  </w:style>
  <w:style w:type="paragraph" w:styleId="a5">
    <w:name w:val="footer"/>
    <w:basedOn w:val="a"/>
    <w:link w:val="a6"/>
    <w:uiPriority w:val="99"/>
    <w:unhideWhenUsed/>
    <w:rsid w:val="002068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6836"/>
  </w:style>
  <w:style w:type="character" w:styleId="a7">
    <w:name w:val="page number"/>
    <w:basedOn w:val="a0"/>
    <w:uiPriority w:val="99"/>
    <w:semiHidden/>
    <w:unhideWhenUsed/>
    <w:rsid w:val="00206836"/>
  </w:style>
  <w:style w:type="table" w:styleId="a8">
    <w:name w:val="Table Grid"/>
    <w:basedOn w:val="a1"/>
    <w:uiPriority w:val="59"/>
    <w:rsid w:val="00206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Аниськова Наталья Леонидовна</dc:creator>
  <cp:lastModifiedBy>User</cp:lastModifiedBy>
  <cp:revision>2</cp:revision>
  <dcterms:created xsi:type="dcterms:W3CDTF">2020-02-12T05:36:00Z</dcterms:created>
  <dcterms:modified xsi:type="dcterms:W3CDTF">2020-02-12T05:36:00Z</dcterms:modified>
</cp:coreProperties>
</file>